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7F20D3" w:rsidRP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260528" w:rsidRPr="00260528" w:rsidRDefault="00260528" w:rsidP="0026052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260528" w:rsidRDefault="007F20D3" w:rsidP="0026052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F20D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дер. </w:t>
            </w:r>
            <w:r w:rsidR="005411F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Струково</w:t>
            </w:r>
          </w:p>
          <w:p w:rsidR="007F20D3" w:rsidRPr="007D7A29" w:rsidRDefault="007F20D3" w:rsidP="00260528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5411F0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366615" wp14:editId="0C5E19E6">
                  <wp:extent cx="3460115" cy="2586355"/>
                  <wp:effectExtent l="0" t="0" r="6985" b="4445"/>
                  <wp:docPr id="12698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258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5F1B03" w:rsidRDefault="00260528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Pr="00260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  <w:p w:rsidR="00260528" w:rsidRPr="004627AB" w:rsidRDefault="00260528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60528" w:rsidRDefault="005411F0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411F0">
              <w:rPr>
                <w:rFonts w:ascii="PT Astra Serif" w:hAnsi="PT Astra Serif"/>
                <w:color w:val="000000"/>
                <w:sz w:val="22"/>
                <w:szCs w:val="22"/>
              </w:rPr>
              <w:t>54.124548, 37.481683</w:t>
            </w:r>
          </w:p>
          <w:p w:rsidR="005411F0" w:rsidRPr="004627AB" w:rsidRDefault="005411F0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5411F0" w:rsidRDefault="005411F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5411F0" w:rsidRDefault="005411F0" w:rsidP="005411F0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5411F0">
              <w:rPr>
                <w:rFonts w:ascii="PT Astra Serif" w:hAnsi="PT Astra Serif"/>
                <w:bCs/>
                <w:sz w:val="22"/>
                <w:szCs w:val="22"/>
              </w:rPr>
              <w:t xml:space="preserve">Братская могила советских воинов. Всего похоронено 80 чел., известны 41. </w:t>
            </w:r>
          </w:p>
          <w:p w:rsidR="005411F0" w:rsidRPr="001E5EF1" w:rsidRDefault="005411F0" w:rsidP="005411F0">
            <w:pPr>
              <w:pStyle w:val="afc"/>
              <w:jc w:val="both"/>
              <w:rPr>
                <w:rFonts w:ascii="PT Astra Serif" w:hAnsi="PT Astra Serif"/>
                <w:bCs/>
              </w:rPr>
            </w:pPr>
            <w:r w:rsidRPr="005411F0">
              <w:rPr>
                <w:rFonts w:ascii="PT Astra Serif" w:hAnsi="PT Astra Serif" w:cs="Arial"/>
                <w:color w:val="212529"/>
                <w:sz w:val="22"/>
                <w:szCs w:val="22"/>
                <w:shd w:val="clear" w:color="auto" w:fill="FFFFFF"/>
              </w:rPr>
              <w:t>Скульптура стоящего солдата с поникшей головой 1,5*1,5м, высотой 2,8м. Изготовлена из гипса.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  <w:bookmarkStart w:id="0" w:name="_GoBack"/>
      <w:bookmarkEnd w:id="0"/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17" w:rsidRDefault="00106017">
      <w:r>
        <w:separator/>
      </w:r>
    </w:p>
  </w:endnote>
  <w:endnote w:type="continuationSeparator" w:id="0">
    <w:p w:rsidR="00106017" w:rsidRDefault="0010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17" w:rsidRDefault="00106017">
      <w:r>
        <w:separator/>
      </w:r>
    </w:p>
  </w:footnote>
  <w:footnote w:type="continuationSeparator" w:id="0">
    <w:p w:rsidR="00106017" w:rsidRDefault="0010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55F4"/>
    <w:rsid w:val="000478FB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B2D8B"/>
    <w:rsid w:val="001E5EF1"/>
    <w:rsid w:val="00224CEB"/>
    <w:rsid w:val="00226D1B"/>
    <w:rsid w:val="00250354"/>
    <w:rsid w:val="00260528"/>
    <w:rsid w:val="00261248"/>
    <w:rsid w:val="002A2258"/>
    <w:rsid w:val="002A64CD"/>
    <w:rsid w:val="002B74DD"/>
    <w:rsid w:val="002D0A8B"/>
    <w:rsid w:val="003051F9"/>
    <w:rsid w:val="003471A5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53A17"/>
    <w:rsid w:val="00A66C07"/>
    <w:rsid w:val="00A70F61"/>
    <w:rsid w:val="00A77F5F"/>
    <w:rsid w:val="00A8338F"/>
    <w:rsid w:val="00AD4B20"/>
    <w:rsid w:val="00AD724D"/>
    <w:rsid w:val="00AF5ABA"/>
    <w:rsid w:val="00B01702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4F19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5537-5A6E-4B3A-8CF9-4F7C903A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2023-07-31T11:21:00Z</dcterms:created>
  <dcterms:modified xsi:type="dcterms:W3CDTF">2023-07-31T11:21:00Z</dcterms:modified>
  <dc:language>ru-RU</dc:language>
</cp:coreProperties>
</file>