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</w:p>
    <w:p w:rsidR="002D7491" w:rsidRPr="00916C67" w:rsidRDefault="005F761B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</w:t>
      </w:r>
      <w:r w:rsidR="001447FF" w:rsidRPr="00916C67">
        <w:rPr>
          <w:rFonts w:ascii="PT Astra Serif" w:hAnsi="PT Astra Serif"/>
          <w:sz w:val="28"/>
          <w:szCs w:val="28"/>
        </w:rPr>
        <w:t>иложение</w:t>
      </w:r>
      <w:r w:rsidR="002D7491" w:rsidRPr="00916C67">
        <w:rPr>
          <w:rFonts w:ascii="PT Astra Serif" w:hAnsi="PT Astra Serif"/>
          <w:sz w:val="28"/>
          <w:szCs w:val="28"/>
        </w:rPr>
        <w:t xml:space="preserve"> </w:t>
      </w:r>
      <w:r w:rsidR="003E60E8" w:rsidRPr="00916C67">
        <w:rPr>
          <w:rFonts w:ascii="PT Astra Serif" w:hAnsi="PT Astra Serif"/>
          <w:sz w:val="28"/>
          <w:szCs w:val="28"/>
        </w:rPr>
        <w:t xml:space="preserve">к приказу </w:t>
      </w:r>
    </w:p>
    <w:p w:rsidR="005F761B" w:rsidRPr="00916C67" w:rsidRDefault="003E60E8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от_______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_____ №_____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</w:t>
      </w:r>
    </w:p>
    <w:p w:rsidR="00950193" w:rsidRPr="00916C67" w:rsidRDefault="00950193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CD1AD4" w:rsidRPr="007B6B36" w:rsidRDefault="00CD1AD4" w:rsidP="00CD1AD4">
      <w:pPr>
        <w:suppressAutoHyphens/>
        <w:rPr>
          <w:rFonts w:ascii="PT Astra Serif" w:hAnsi="PT Astra Serif"/>
          <w:color w:val="000000"/>
          <w:sz w:val="28"/>
          <w:szCs w:val="28"/>
        </w:rPr>
      </w:pPr>
    </w:p>
    <w:p w:rsidR="00CD1AD4" w:rsidRPr="007B6B36" w:rsidRDefault="00CD1AD4" w:rsidP="00CD1AD4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D1AD4" w:rsidRPr="007B6B36" w:rsidRDefault="00CD1AD4" w:rsidP="00CD1AD4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 xml:space="preserve">Программа профилактики рисков причинения вреда (ущерба) </w:t>
      </w:r>
    </w:p>
    <w:p w:rsidR="00CD1AD4" w:rsidRPr="007B6B36" w:rsidRDefault="00CD1AD4" w:rsidP="00CD1AD4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город Тула на 202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>5</w:t>
      </w: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год</w:t>
      </w:r>
    </w:p>
    <w:p w:rsidR="00CD1AD4" w:rsidRPr="007B6B36" w:rsidRDefault="00CD1AD4" w:rsidP="00CD1AD4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D1AD4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Программа профилактики рисков причинения вреда (ущерба) охраняемым законом ценностям при осуществлении муниципального контроля</w:t>
      </w:r>
      <w:r w:rsidRPr="007B6B36">
        <w:rPr>
          <w:rFonts w:ascii="PT Astra Serif" w:hAnsi="PT Astra Serif"/>
        </w:rPr>
        <w:t xml:space="preserve">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Pr="007B6B36">
        <w:rPr>
          <w:rFonts w:ascii="PT Astra Serif" w:hAnsi="PT Astra Serif"/>
        </w:rPr>
        <w:t xml:space="preserve">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>на территории муниципального образования город Тула на 202</w:t>
      </w:r>
      <w:r>
        <w:rPr>
          <w:rFonts w:ascii="PT Astra Serif" w:eastAsia="Calibri" w:hAnsi="PT Astra Serif"/>
          <w:sz w:val="28"/>
          <w:szCs w:val="28"/>
          <w:lang w:eastAsia="en-US"/>
        </w:rPr>
        <w:t>5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 год (далее – Программа профилактики) разработана управление</w:t>
      </w:r>
      <w:r>
        <w:rPr>
          <w:rFonts w:ascii="PT Astra Serif" w:eastAsia="Calibri" w:hAnsi="PT Astra Serif"/>
          <w:sz w:val="28"/>
          <w:szCs w:val="28"/>
          <w:lang w:eastAsia="en-US"/>
        </w:rPr>
        <w:t>м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 по транспорту и дорожному хозяйству администрации города Тулы 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rFonts w:ascii="PT Astra Serif" w:eastAsia="Calibri" w:hAnsi="PT Astra Serif"/>
          <w:sz w:val="28"/>
          <w:szCs w:val="28"/>
          <w:lang w:eastAsia="en-US"/>
        </w:rPr>
        <w:t>р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>ешение</w:t>
      </w:r>
      <w:r>
        <w:rPr>
          <w:rFonts w:ascii="PT Astra Serif" w:eastAsia="Calibri" w:hAnsi="PT Astra Serif"/>
          <w:sz w:val="28"/>
          <w:szCs w:val="28"/>
          <w:lang w:eastAsia="en-US"/>
        </w:rPr>
        <w:t>м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 xml:space="preserve"> Тульской городской Думы от 29.09.2021 </w:t>
      </w:r>
      <w:r>
        <w:rPr>
          <w:rFonts w:ascii="PT Astra Serif" w:eastAsia="Calibri" w:hAnsi="PT Astra Serif"/>
          <w:sz w:val="28"/>
          <w:szCs w:val="28"/>
          <w:lang w:eastAsia="en-US"/>
        </w:rPr>
        <w:t>№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 xml:space="preserve"> 27/585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«О Положении «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>О муниципальном контроле на автомобильном транспорте, городском наземном электрическом тр</w:t>
      </w:r>
      <w:r>
        <w:rPr>
          <w:rFonts w:ascii="PT Astra Serif" w:eastAsia="Calibri" w:hAnsi="PT Astra Serif"/>
          <w:sz w:val="28"/>
          <w:szCs w:val="28"/>
          <w:lang w:eastAsia="en-US"/>
        </w:rPr>
        <w:t>анспорте и в дорожном хозяйстве».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D1AD4" w:rsidRPr="007B6B36" w:rsidRDefault="00CD1AD4" w:rsidP="00CD1AD4">
      <w:pPr>
        <w:ind w:firstLine="708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Раздел </w:t>
      </w:r>
      <w:r w:rsidRPr="007B6B36">
        <w:rPr>
          <w:rFonts w:ascii="PT Astra Serif" w:eastAsia="Calibri" w:hAnsi="PT Astra Serif"/>
          <w:b/>
          <w:sz w:val="28"/>
          <w:szCs w:val="28"/>
          <w:lang w:val="en-US" w:eastAsia="en-US"/>
        </w:rPr>
        <w:t>I</w:t>
      </w: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. Анализ текущего состояния осуществления вида контроля,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CD1AD4" w:rsidRPr="007B6B36" w:rsidRDefault="00CD1AD4" w:rsidP="00CD1AD4">
      <w:pPr>
        <w:ind w:firstLine="708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D1AD4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1. К отношениям, связанным с осуществлением муниципального контроля на автомобильном транспорте, городском наземном электрическом транспорте и в дорожном хозяйстве применяются положения Федерального закона от 08 ноября 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13 июля 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решения 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 xml:space="preserve">Тульской городской 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lastRenderedPageBreak/>
        <w:t>Думы от 29</w:t>
      </w:r>
      <w:r>
        <w:rPr>
          <w:rFonts w:ascii="PT Astra Serif" w:eastAsia="Calibri" w:hAnsi="PT Astra Serif"/>
          <w:sz w:val="28"/>
          <w:szCs w:val="28"/>
          <w:lang w:eastAsia="en-US"/>
        </w:rPr>
        <w:t>.09.2021 № 27/585 «О Положении «</w:t>
      </w:r>
      <w:r w:rsidRPr="009D4F4E">
        <w:rPr>
          <w:rFonts w:ascii="PT Astra Serif" w:eastAsia="Calibri" w:hAnsi="PT Astra Serif"/>
          <w:sz w:val="28"/>
          <w:szCs w:val="28"/>
          <w:lang w:eastAsia="en-US"/>
        </w:rPr>
        <w:t>О муниципальном контроле на автомобильном транспорте, городском наземном электрическом транспорте и в дорожном хозяйстве».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2. Предметом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город Тула (далее- муниципальный контроль) является соблюдение обязательных требований: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1) в области автомобильных дорог и дорожной деятельности, установленных в отношении автомобильных дорог местного значения города Тулы: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2) установленных в отношении перевозок по муниципальным маршрутам регулярных перевозок города Тулы,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3.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>Контролируемыми лицами при осуществлении муниципального контроля являются юридические лица, индивидуальные предприниматели, граждане (далее - контролируемые лица).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Органы государственной власти, органы местного самоуправления, иные государственные и муниципальные органы выступают контролируемыми лицами в случае владения и (или) пользования производственными объектами, являющимися объектами муниципального контроля.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4.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>Объектами муниципального контроля являются: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1) деятельность, действия (бездействие) контролируемых лиц на автомобильном транспорте и в дорожном хозяйстве, в рамках которых должны соблюдаться обязательные требования;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2) результаты деятельности контролируемых лиц, в том числе работы и услуги, к которым предъявляются обязательные требования;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3) автомобильные дороги общего пользования местного значения и искусственные дорожные сооружения на них.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В настоящее время,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муниципальный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контроль, связанный с осуществлением регулярных перевозок пассажиров и багажа автомобильным транспортом по регулируемым тарифам осуществляется в рамках заключенных муниципальных контрактов на выполнение работ, связанных с 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lastRenderedPageBreak/>
        <w:t>осуществлением регулярных перевозок пассажиров и багажа автомобильным транспортом по регулируемым тарифам (далее – Контракт).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Муниципальный к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>онтроль, связанный с осуществлением регулярных перевозок пассажиров и багажа автомобильным транспортом по нерегулируемым тарифам осуществляется</w:t>
      </w:r>
      <w:r w:rsidRPr="007B6B36">
        <w:rPr>
          <w:rFonts w:ascii="PT Astra Serif" w:hAnsi="PT Astra Serif"/>
          <w:sz w:val="28"/>
          <w:szCs w:val="28"/>
        </w:rPr>
        <w:t xml:space="preserve"> в рамках свидетельства об осуществлении перевозок по муниципальным маршрутам регулярных перевозок (далее - Свидетельство).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Анализ состояния перевозок населения пассажирским автомобильным транспортом по регулярным муниципальным маршрутам в городе Туле показывает, что в течение последних лет произошли определенные изменения в сфере регулярных перевозок пассажирским транспортом, приведшие к возникновению некоторых проблем в организации транспортного обслуживания населения: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- перенасыщение парка подвижного состава пассажирского автомобильного транспорта транспортными средствами малого и среднего класса, что является причиной несоответствия организации регулярных перевозок уровню потребности населения города Тулы в перевозках пассажирскими транспортными средствами большого класса;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- совпадение участков путей следования пассажирских транспортных средств на большинстве регулярных муниципальных маршрутов, что приводит к неэффективному использованию дорожной сети и концентрации большого количества транспортных средств на одних направлениях. Кроме того, следование нескольких маршрутов по одним и тем же участкам улично-дорожной сети ведет к снижению безопасности перевозок;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-снижение транспортной дисциплины среди </w:t>
      </w:r>
      <w:proofErr w:type="spellStart"/>
      <w:r w:rsidRPr="007B6B36">
        <w:rPr>
          <w:rFonts w:ascii="PT Astra Serif" w:eastAsia="Calibri" w:hAnsi="PT Astra Serif"/>
          <w:sz w:val="28"/>
          <w:szCs w:val="28"/>
          <w:lang w:eastAsia="en-US"/>
        </w:rPr>
        <w:t>пассажироперевозчиков</w:t>
      </w:r>
      <w:proofErr w:type="spellEnd"/>
      <w:r w:rsidRPr="007B6B36">
        <w:rPr>
          <w:rFonts w:ascii="PT Astra Serif" w:eastAsia="Calibri" w:hAnsi="PT Astra Serif"/>
          <w:sz w:val="28"/>
          <w:szCs w:val="28"/>
          <w:lang w:eastAsia="en-US"/>
        </w:rPr>
        <w:t>, подтверждаемое выявленными фактами нарушений требований нормативно-правовых актов в сфере регулярных пассажирских перевозок.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В настоящее время профилактическая деятельность в части соблюдения </w:t>
      </w:r>
      <w:proofErr w:type="spellStart"/>
      <w:r w:rsidRPr="007B6B36">
        <w:rPr>
          <w:rFonts w:ascii="PT Astra Serif" w:eastAsia="Calibri" w:hAnsi="PT Astra Serif"/>
          <w:sz w:val="28"/>
          <w:szCs w:val="28"/>
          <w:lang w:eastAsia="en-US"/>
        </w:rPr>
        <w:t>пассажироперевозчиками</w:t>
      </w:r>
      <w:proofErr w:type="spellEnd"/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 условий Контракта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(Свидетельства)</w:t>
      </w:r>
      <w:r w:rsidRPr="007B6B36">
        <w:rPr>
          <w:rFonts w:ascii="PT Astra Serif" w:eastAsia="Calibri" w:hAnsi="PT Astra Serif"/>
          <w:sz w:val="28"/>
          <w:szCs w:val="28"/>
          <w:lang w:eastAsia="en-US"/>
        </w:rPr>
        <w:t xml:space="preserve"> осуществляется в форме: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- профилактическая беседа;</w:t>
      </w:r>
    </w:p>
    <w:p w:rsidR="00CD1AD4" w:rsidRPr="007B6B36" w:rsidRDefault="00CD1AD4" w:rsidP="00CD1AD4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 претензионная работа.</w:t>
      </w:r>
    </w:p>
    <w:p w:rsidR="00CD1AD4" w:rsidRPr="007B6B36" w:rsidRDefault="00CD1AD4" w:rsidP="00CD1AD4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firstLine="709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Раздел </w:t>
      </w:r>
      <w:r w:rsidRPr="007B6B36">
        <w:rPr>
          <w:rFonts w:ascii="PT Astra Serif" w:eastAsia="Calibri" w:hAnsi="PT Astra Serif"/>
          <w:b/>
          <w:sz w:val="28"/>
          <w:szCs w:val="28"/>
          <w:lang w:val="en-US" w:eastAsia="en-US"/>
        </w:rPr>
        <w:t>II</w:t>
      </w: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.</w:t>
      </w:r>
      <w:r w:rsidRPr="007B6B36">
        <w:rPr>
          <w:rFonts w:ascii="PT Astra Serif" w:hAnsi="PT Astra Serif"/>
          <w:b/>
        </w:rPr>
        <w:t xml:space="preserve"> </w:t>
      </w: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Цели и задачи реализации Программы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профилактики</w:t>
      </w:r>
    </w:p>
    <w:p w:rsidR="00CD1AD4" w:rsidRPr="007B6B36" w:rsidRDefault="00CD1AD4" w:rsidP="00CD1AD4">
      <w:pPr>
        <w:ind w:firstLine="709"/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5. Целями проведения профилактических мероприятий являются: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а) предотвращение рисков причинения вреда (ущерба) охраняемым законом ценностям;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б) 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в) 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lastRenderedPageBreak/>
        <w:t>г) 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6. Проведение управлением по транспорту и дорожному хозяйству администрации города Тулы (далее – Управление, контрольный орган) профилактических мероприятий направлено на решение следующих задач: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а) разъяснение контролируемым лицам обязательных требований;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б) 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в)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муниципального контроля;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г) 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CD1AD4" w:rsidRPr="007B6B36" w:rsidRDefault="00CD1AD4" w:rsidP="00CD1AD4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sz w:val="28"/>
          <w:szCs w:val="28"/>
          <w:lang w:eastAsia="en-US"/>
        </w:rPr>
        <w:t>д)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b/>
          <w:bCs/>
          <w:sz w:val="28"/>
          <w:szCs w:val="28"/>
          <w:highlight w:val="green"/>
        </w:rPr>
      </w:pPr>
    </w:p>
    <w:p w:rsidR="00CD1AD4" w:rsidRPr="007B6B36" w:rsidRDefault="00CD1AD4" w:rsidP="00CD1AD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B6B36">
        <w:rPr>
          <w:rFonts w:ascii="PT Astra Serif" w:hAnsi="PT Astra Serif"/>
          <w:b/>
          <w:bCs/>
          <w:sz w:val="28"/>
          <w:szCs w:val="28"/>
        </w:rPr>
        <w:t>Раздел III. Перечень профилактических мероприятий, сроки</w:t>
      </w:r>
    </w:p>
    <w:p w:rsidR="00CD1AD4" w:rsidRPr="007B6B36" w:rsidRDefault="00CD1AD4" w:rsidP="00CD1AD4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7B6B36">
        <w:rPr>
          <w:rFonts w:ascii="PT Astra Serif" w:hAnsi="PT Astra Serif"/>
          <w:b/>
          <w:bCs/>
          <w:sz w:val="28"/>
          <w:szCs w:val="28"/>
        </w:rPr>
        <w:t>(периодичность) их проведения</w:t>
      </w:r>
    </w:p>
    <w:p w:rsidR="00CD1AD4" w:rsidRPr="007B6B36" w:rsidRDefault="00CD1AD4" w:rsidP="00CD1AD4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7. Перечень профилактических мероприятий:</w:t>
      </w: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а) информирование;</w:t>
      </w: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б) объявление предостережения;</w:t>
      </w: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в) консультирование.</w:t>
      </w: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CD1AD4" w:rsidRDefault="00CD1AD4" w:rsidP="00CD1AD4">
      <w:pPr>
        <w:ind w:firstLine="567"/>
        <w:jc w:val="center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Информирование</w:t>
      </w:r>
    </w:p>
    <w:p w:rsidR="00CD1AD4" w:rsidRPr="007B6B36" w:rsidRDefault="00CD1AD4" w:rsidP="00CD1AD4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pStyle w:val="a8"/>
        <w:autoSpaceDE w:val="0"/>
        <w:autoSpaceDN w:val="0"/>
        <w:adjustRightInd w:val="0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8. 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 xml:space="preserve">Контрольный орган обязан размещать и поддерживать в актуальном состоянии на своем официальном сайте в информационно-телекоммуникационной сети «Интернет» информацию, предусмотренную </w:t>
      </w:r>
      <w:r w:rsidRPr="007B6B36">
        <w:rPr>
          <w:rFonts w:ascii="PT Astra Serif" w:hAnsi="PT Astra Serif"/>
          <w:sz w:val="28"/>
          <w:szCs w:val="28"/>
        </w:rPr>
        <w:lastRenderedPageBreak/>
        <w:t>частью 3 статьи 46 Федерального закона «О государственном контроле (надзоре) и муниципальном контроле в Российской Федерации».</w:t>
      </w:r>
    </w:p>
    <w:p w:rsidR="00CD1AD4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Сроки (периодичность) информирования: осуществляется постоянно.</w:t>
      </w:r>
    </w:p>
    <w:p w:rsidR="002A6614" w:rsidRPr="00916C67" w:rsidRDefault="002A6614" w:rsidP="002A661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2A6614" w:rsidRPr="007B6B36" w:rsidRDefault="002A661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D1AD4" w:rsidRDefault="00CD1AD4" w:rsidP="00CD1AD4">
      <w:pPr>
        <w:ind w:right="5" w:firstLine="709"/>
        <w:jc w:val="center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Объявление предостережения</w:t>
      </w:r>
    </w:p>
    <w:p w:rsidR="00CD1AD4" w:rsidRPr="007B6B36" w:rsidRDefault="00CD1AD4" w:rsidP="00CD1AD4">
      <w:pPr>
        <w:ind w:right="5" w:firstLine="709"/>
        <w:jc w:val="center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9.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Возражение должно содержать: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1) наименование контрольного органа, в который направляется возражение;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 xml:space="preserve"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</w:t>
      </w:r>
      <w:r w:rsidRPr="007B6B36">
        <w:rPr>
          <w:rFonts w:ascii="PT Astra Serif" w:hAnsi="PT Astra Serif"/>
          <w:sz w:val="28"/>
          <w:szCs w:val="28"/>
        </w:rPr>
        <w:lastRenderedPageBreak/>
        <w:t>электронной почты (при наличии) и почтовый адрес, по которым должен быть направлен ответ контролируемому лицу;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3) дату и номер предостережения;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5) дату получения предостережения контролируемым лицом.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Возражение рассматривается контрольным органом в течение 30 дней со дня регистрации поступившего возражения.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возражения.</w:t>
      </w: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CD1AD4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Срок (периодичность) проведения данного мероприятия: постоянно, по мере выявления признаков нарушений.</w:t>
      </w:r>
    </w:p>
    <w:p w:rsidR="002A6614" w:rsidRPr="00916C67" w:rsidRDefault="002A6614" w:rsidP="002A661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2A6614" w:rsidRPr="007B6B36" w:rsidRDefault="002A661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firstLine="567"/>
        <w:jc w:val="center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Консультирование</w:t>
      </w:r>
    </w:p>
    <w:p w:rsidR="00CD1AD4" w:rsidRPr="007B6B36" w:rsidRDefault="00CD1AD4" w:rsidP="00CD1AD4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10. 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Консультирование осуществляется по следующим вопросам: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lastRenderedPageBreak/>
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2) разъяснение положений нормативных правовых актов, регламентирующих порядок осуществления муниципального контроля;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3) порядок обжалования решений и действий (бездействия) должностных лиц.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контрольного органа в информационно-телекоммуникационной сети «Интернет».</w:t>
      </w:r>
    </w:p>
    <w:p w:rsidR="00CD1AD4" w:rsidRPr="007B6B36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</w:t>
      </w:r>
      <w:bookmarkStart w:id="0" w:name="_GoBack"/>
      <w:bookmarkEnd w:id="0"/>
      <w:r w:rsidRPr="007B6B36">
        <w:rPr>
          <w:rFonts w:ascii="PT Astra Serif" w:hAnsi="PT Astra Serif"/>
          <w:sz w:val="28"/>
          <w:szCs w:val="28"/>
        </w:rPr>
        <w:t xml:space="preserve"> размещения на официальном сайте контрольного органа в информационно-телекоммуникационной сети «Интернет» письменного разъяснения, подписанного должностным лицом контрольного органа, уполномоченными на принятие решений о проведении контрольных мероприятий,</w:t>
      </w:r>
    </w:p>
    <w:p w:rsidR="00CD1AD4" w:rsidRDefault="00CD1AD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6B36">
        <w:rPr>
          <w:rFonts w:ascii="PT Astra Serif" w:hAnsi="PT Astra Serif"/>
          <w:sz w:val="28"/>
          <w:szCs w:val="28"/>
        </w:rPr>
        <w:t>Сроки (периодичность) проведения консультирования: по мере необходимости, на постоянной основе.</w:t>
      </w:r>
    </w:p>
    <w:p w:rsidR="002A6614" w:rsidRPr="00916C67" w:rsidRDefault="002A6614" w:rsidP="002A6614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Ответственные подразделения: начальник управления по административно-техническому надзору администрации города Тулы, заместитель начальника управления по административно-техническому надзору администрации города Тулы,  сектор контроля по Центральному территориальному округу, сектор контроля по Зареченскому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Привокзальному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Советскому территориальному округу,</w:t>
      </w:r>
      <w:r w:rsidRPr="004719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сектор контроля по Пролетарскому территориальному округу управления по административно-техническому надзору администрации города Тулы.</w:t>
      </w:r>
    </w:p>
    <w:p w:rsidR="002A6614" w:rsidRPr="007B6B36" w:rsidRDefault="002A6614" w:rsidP="00CD1AD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CD1AD4" w:rsidRPr="007B6B36" w:rsidRDefault="00CD1AD4" w:rsidP="00CD1AD4">
      <w:pPr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7B6B36">
        <w:rPr>
          <w:rFonts w:ascii="PT Astra Serif" w:eastAsia="Calibri" w:hAnsi="PT Astra Serif"/>
          <w:b/>
          <w:sz w:val="28"/>
          <w:szCs w:val="28"/>
          <w:lang w:eastAsia="en-US"/>
        </w:rPr>
        <w:t>Раздел IV. Показатели результативности и эффективности Программы профилактики</w:t>
      </w:r>
    </w:p>
    <w:p w:rsidR="00CD1AD4" w:rsidRPr="007B6B36" w:rsidRDefault="00CD1AD4" w:rsidP="00CD1AD4">
      <w:pPr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D1AD4" w:rsidRPr="007B6B36" w:rsidRDefault="00CD1AD4" w:rsidP="00CD1AD4">
      <w:pPr>
        <w:ind w:firstLine="709"/>
        <w:jc w:val="both"/>
        <w:rPr>
          <w:rStyle w:val="af"/>
          <w:rFonts w:ascii="PT Astra Serif" w:hAnsi="PT Astra Serif"/>
          <w:i w:val="0"/>
          <w:sz w:val="28"/>
          <w:szCs w:val="28"/>
        </w:rPr>
      </w:pPr>
      <w:r w:rsidRPr="007B6B36">
        <w:rPr>
          <w:rStyle w:val="af"/>
          <w:rFonts w:ascii="PT Astra Serif" w:hAnsi="PT Astra Serif"/>
          <w:sz w:val="28"/>
          <w:szCs w:val="28"/>
        </w:rPr>
        <w:t>11. Основными критериями оценки эффективности и результативности Программы профилактики являются следующие показатели:</w:t>
      </w:r>
    </w:p>
    <w:p w:rsidR="00CD1AD4" w:rsidRPr="007B6B36" w:rsidRDefault="00CD1AD4" w:rsidP="00CD1AD4">
      <w:pPr>
        <w:ind w:firstLine="709"/>
        <w:jc w:val="both"/>
        <w:rPr>
          <w:rStyle w:val="af"/>
          <w:rFonts w:ascii="PT Astra Serif" w:hAnsi="PT Astra Serif"/>
          <w:i w:val="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886"/>
        <w:gridCol w:w="1661"/>
      </w:tblGrid>
      <w:tr w:rsidR="00CD1AD4" w:rsidRPr="00A573D1" w:rsidTr="00CA3B33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Целевой показатель</w:t>
            </w:r>
          </w:p>
        </w:tc>
      </w:tr>
      <w:tr w:rsidR="00CD1AD4" w:rsidRPr="00A573D1" w:rsidTr="00CA3B33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Pr="00A573D1">
              <w:rPr>
                <w:rFonts w:ascii="PT Astra Serif" w:hAnsi="PT Astra Serif"/>
              </w:rPr>
              <w:t xml:space="preserve"> </w:t>
            </w:r>
            <w:r w:rsidRPr="00A573D1">
              <w:rPr>
                <w:rFonts w:ascii="PT Astra Serif" w:hAnsi="PT Astra Serif"/>
                <w:sz w:val="28"/>
                <w:szCs w:val="28"/>
              </w:rPr>
              <w:t>по муниципальному контролю,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CD1AD4" w:rsidRPr="00A573D1" w:rsidTr="00CA3B33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Выполнение мероприятий, предусмотренных 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CD1AD4" w:rsidRPr="00A573D1" w:rsidTr="00CA3B33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Подготовка и размещение на официальном сайте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администрации города Тулы</w:t>
            </w:r>
            <w:r w:rsidRPr="00A573D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в разделе к</w:t>
            </w:r>
            <w:r w:rsidRPr="00A573D1">
              <w:rPr>
                <w:rFonts w:ascii="PT Astra Serif" w:hAnsi="PT Astra Serif"/>
                <w:sz w:val="28"/>
                <w:szCs w:val="28"/>
              </w:rPr>
              <w:t>онтрольного органа  в информационно-телекоммуникационной сети «Интернет»</w:t>
            </w:r>
            <w:r>
              <w:t xml:space="preserve"> </w:t>
            </w:r>
            <w:r w:rsidRPr="00A573D1">
              <w:rPr>
                <w:rFonts w:ascii="PT Astra Serif" w:hAnsi="PT Astra Serif"/>
                <w:sz w:val="28"/>
                <w:szCs w:val="28"/>
              </w:rPr>
              <w:t>информации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D1AD4" w:rsidRPr="00A573D1" w:rsidRDefault="00CD1AD4" w:rsidP="00CA3B33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3D1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</w:tbl>
    <w:p w:rsidR="00CD1AD4" w:rsidRPr="007B6B36" w:rsidRDefault="00CD1AD4" w:rsidP="00CD1AD4">
      <w:pPr>
        <w:ind w:firstLine="709"/>
        <w:jc w:val="both"/>
        <w:rPr>
          <w:rStyle w:val="af"/>
          <w:rFonts w:ascii="PT Astra Serif" w:hAnsi="PT Astra Serif"/>
          <w:i w:val="0"/>
          <w:sz w:val="28"/>
          <w:szCs w:val="28"/>
        </w:rPr>
      </w:pPr>
    </w:p>
    <w:p w:rsidR="00CD1AD4" w:rsidRPr="007B6B36" w:rsidRDefault="00CD1AD4" w:rsidP="00CD1AD4">
      <w:pPr>
        <w:ind w:firstLine="709"/>
        <w:jc w:val="both"/>
        <w:rPr>
          <w:rStyle w:val="af"/>
          <w:rFonts w:ascii="PT Astra Serif" w:hAnsi="PT Astra Serif"/>
          <w:i w:val="0"/>
          <w:sz w:val="28"/>
          <w:szCs w:val="28"/>
        </w:rPr>
      </w:pPr>
    </w:p>
    <w:p w:rsidR="00CD1AD4" w:rsidRPr="00916C67" w:rsidRDefault="00CD1AD4" w:rsidP="00CD1AD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Начальник управления </w:t>
      </w:r>
    </w:p>
    <w:p w:rsidR="00CD1AD4" w:rsidRPr="00916C67" w:rsidRDefault="00CD1AD4" w:rsidP="00CD1AD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по административно-техническому </w:t>
      </w:r>
    </w:p>
    <w:p w:rsidR="00CD1AD4" w:rsidRPr="00916C67" w:rsidRDefault="00CD1AD4" w:rsidP="00CD1AD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надзору администрации города Тулы                            </w:t>
      </w:r>
      <w:r>
        <w:rPr>
          <w:rFonts w:ascii="PT Astra Serif" w:hAnsi="PT Astra Serif"/>
          <w:b/>
          <w:sz w:val="28"/>
          <w:szCs w:val="28"/>
        </w:rPr>
        <w:t>К</w:t>
      </w:r>
      <w:r w:rsidRPr="00916C67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Н</w:t>
      </w:r>
      <w:r w:rsidRPr="00916C67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Галкина</w:t>
      </w:r>
    </w:p>
    <w:p w:rsidR="00CD1AD4" w:rsidRPr="007B6B36" w:rsidRDefault="00CD1AD4" w:rsidP="00CD1AD4">
      <w:pPr>
        <w:ind w:hanging="284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D1AD4" w:rsidRDefault="00CD1AD4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CD1AD4" w:rsidRDefault="00CD1AD4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CD1AD4" w:rsidRDefault="00CD1AD4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CD1AD4" w:rsidRDefault="00CD1AD4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sectPr w:rsidR="0053684C" w:rsidRPr="00916C67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D5B" w:rsidRDefault="005F6D5B" w:rsidP="00815C4B">
      <w:r>
        <w:separator/>
      </w:r>
    </w:p>
  </w:endnote>
  <w:endnote w:type="continuationSeparator" w:id="0">
    <w:p w:rsidR="005F6D5B" w:rsidRDefault="005F6D5B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D5B" w:rsidRDefault="005F6D5B" w:rsidP="00815C4B">
      <w:r>
        <w:separator/>
      </w:r>
    </w:p>
  </w:footnote>
  <w:footnote w:type="continuationSeparator" w:id="0">
    <w:p w:rsidR="005F6D5B" w:rsidRDefault="005F6D5B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614">
          <w:rPr>
            <w:noProof/>
          </w:rPr>
          <w:t>6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FD"/>
    <w:rsid w:val="00014D44"/>
    <w:rsid w:val="000400A1"/>
    <w:rsid w:val="00051324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3EBE"/>
    <w:rsid w:val="00105858"/>
    <w:rsid w:val="00106971"/>
    <w:rsid w:val="001422CB"/>
    <w:rsid w:val="0014337E"/>
    <w:rsid w:val="001447FF"/>
    <w:rsid w:val="00176195"/>
    <w:rsid w:val="0018785D"/>
    <w:rsid w:val="00196549"/>
    <w:rsid w:val="001A0AA0"/>
    <w:rsid w:val="001B498C"/>
    <w:rsid w:val="001E13C8"/>
    <w:rsid w:val="001E2455"/>
    <w:rsid w:val="001F6EFD"/>
    <w:rsid w:val="0025373B"/>
    <w:rsid w:val="00282389"/>
    <w:rsid w:val="002A1739"/>
    <w:rsid w:val="002A2BF9"/>
    <w:rsid w:val="002A6614"/>
    <w:rsid w:val="002D7491"/>
    <w:rsid w:val="002E2950"/>
    <w:rsid w:val="002E498F"/>
    <w:rsid w:val="002F553E"/>
    <w:rsid w:val="00306962"/>
    <w:rsid w:val="00331961"/>
    <w:rsid w:val="0035206B"/>
    <w:rsid w:val="00352902"/>
    <w:rsid w:val="00360A9F"/>
    <w:rsid w:val="003734A1"/>
    <w:rsid w:val="003824B4"/>
    <w:rsid w:val="00392F50"/>
    <w:rsid w:val="00395CF2"/>
    <w:rsid w:val="003B36C7"/>
    <w:rsid w:val="003B5B39"/>
    <w:rsid w:val="003C3C25"/>
    <w:rsid w:val="003E1537"/>
    <w:rsid w:val="003E60E8"/>
    <w:rsid w:val="003F2EEE"/>
    <w:rsid w:val="00400E6E"/>
    <w:rsid w:val="004174AA"/>
    <w:rsid w:val="00431A4A"/>
    <w:rsid w:val="0043377B"/>
    <w:rsid w:val="00435BA0"/>
    <w:rsid w:val="004552B1"/>
    <w:rsid w:val="004631DA"/>
    <w:rsid w:val="00495D09"/>
    <w:rsid w:val="00496165"/>
    <w:rsid w:val="004A5C48"/>
    <w:rsid w:val="004A6D5A"/>
    <w:rsid w:val="004B3FF0"/>
    <w:rsid w:val="004C3572"/>
    <w:rsid w:val="004D4C1B"/>
    <w:rsid w:val="004E0D8B"/>
    <w:rsid w:val="004E6468"/>
    <w:rsid w:val="004F3923"/>
    <w:rsid w:val="005027AB"/>
    <w:rsid w:val="005038A3"/>
    <w:rsid w:val="00514A25"/>
    <w:rsid w:val="0053684C"/>
    <w:rsid w:val="0054112B"/>
    <w:rsid w:val="005511EE"/>
    <w:rsid w:val="00557CA0"/>
    <w:rsid w:val="00596B45"/>
    <w:rsid w:val="005A305F"/>
    <w:rsid w:val="005A5377"/>
    <w:rsid w:val="005B6F71"/>
    <w:rsid w:val="005D2EFD"/>
    <w:rsid w:val="005D4A85"/>
    <w:rsid w:val="005E5396"/>
    <w:rsid w:val="005F03C9"/>
    <w:rsid w:val="005F6D5B"/>
    <w:rsid w:val="005F761B"/>
    <w:rsid w:val="0060391E"/>
    <w:rsid w:val="00610726"/>
    <w:rsid w:val="00610CF4"/>
    <w:rsid w:val="00621E5E"/>
    <w:rsid w:val="00656343"/>
    <w:rsid w:val="0066004D"/>
    <w:rsid w:val="00662A70"/>
    <w:rsid w:val="00667127"/>
    <w:rsid w:val="00694D03"/>
    <w:rsid w:val="00696378"/>
    <w:rsid w:val="006A10DF"/>
    <w:rsid w:val="006A6AD0"/>
    <w:rsid w:val="006B144E"/>
    <w:rsid w:val="006D1D3D"/>
    <w:rsid w:val="006D3683"/>
    <w:rsid w:val="006E3513"/>
    <w:rsid w:val="006E7FE8"/>
    <w:rsid w:val="006F137D"/>
    <w:rsid w:val="00703B7E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A6860"/>
    <w:rsid w:val="007D26CC"/>
    <w:rsid w:val="008035B9"/>
    <w:rsid w:val="00811F6E"/>
    <w:rsid w:val="00815A2C"/>
    <w:rsid w:val="00815C4B"/>
    <w:rsid w:val="00851586"/>
    <w:rsid w:val="0085293D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16C67"/>
    <w:rsid w:val="009311FA"/>
    <w:rsid w:val="0093168D"/>
    <w:rsid w:val="00937EA0"/>
    <w:rsid w:val="0094581B"/>
    <w:rsid w:val="00950193"/>
    <w:rsid w:val="009506D5"/>
    <w:rsid w:val="0096259C"/>
    <w:rsid w:val="00965C81"/>
    <w:rsid w:val="00974022"/>
    <w:rsid w:val="00980596"/>
    <w:rsid w:val="0099492F"/>
    <w:rsid w:val="009A10FD"/>
    <w:rsid w:val="00A72EF5"/>
    <w:rsid w:val="00A877BE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44F8"/>
    <w:rsid w:val="00B45F08"/>
    <w:rsid w:val="00B55560"/>
    <w:rsid w:val="00B55D49"/>
    <w:rsid w:val="00B613B7"/>
    <w:rsid w:val="00B63E2B"/>
    <w:rsid w:val="00B8083E"/>
    <w:rsid w:val="00B80E79"/>
    <w:rsid w:val="00B830EF"/>
    <w:rsid w:val="00BA122E"/>
    <w:rsid w:val="00BA5245"/>
    <w:rsid w:val="00BA5CAC"/>
    <w:rsid w:val="00BC7C30"/>
    <w:rsid w:val="00BD23C4"/>
    <w:rsid w:val="00C070A6"/>
    <w:rsid w:val="00C22D2C"/>
    <w:rsid w:val="00C32335"/>
    <w:rsid w:val="00C51077"/>
    <w:rsid w:val="00C83391"/>
    <w:rsid w:val="00C94D9E"/>
    <w:rsid w:val="00C95C1C"/>
    <w:rsid w:val="00CA3C54"/>
    <w:rsid w:val="00CB5737"/>
    <w:rsid w:val="00CB6D74"/>
    <w:rsid w:val="00CD1AD4"/>
    <w:rsid w:val="00CE0AC3"/>
    <w:rsid w:val="00CE4607"/>
    <w:rsid w:val="00CF5388"/>
    <w:rsid w:val="00D0446D"/>
    <w:rsid w:val="00D05AEE"/>
    <w:rsid w:val="00D0671B"/>
    <w:rsid w:val="00D35F9D"/>
    <w:rsid w:val="00D47F50"/>
    <w:rsid w:val="00D5062C"/>
    <w:rsid w:val="00D62D8B"/>
    <w:rsid w:val="00D83B9B"/>
    <w:rsid w:val="00D85EFD"/>
    <w:rsid w:val="00D97E46"/>
    <w:rsid w:val="00DA5FBF"/>
    <w:rsid w:val="00DB5FC3"/>
    <w:rsid w:val="00DB694F"/>
    <w:rsid w:val="00DC103A"/>
    <w:rsid w:val="00DC55D1"/>
    <w:rsid w:val="00DD0774"/>
    <w:rsid w:val="00DD6C09"/>
    <w:rsid w:val="00DD72CD"/>
    <w:rsid w:val="00DF65C8"/>
    <w:rsid w:val="00DF7472"/>
    <w:rsid w:val="00E03001"/>
    <w:rsid w:val="00E27D70"/>
    <w:rsid w:val="00E27F7F"/>
    <w:rsid w:val="00E43D95"/>
    <w:rsid w:val="00E54DB5"/>
    <w:rsid w:val="00E678FD"/>
    <w:rsid w:val="00E7130D"/>
    <w:rsid w:val="00E9327E"/>
    <w:rsid w:val="00E96721"/>
    <w:rsid w:val="00EA4BF2"/>
    <w:rsid w:val="00EB6F23"/>
    <w:rsid w:val="00EE2D86"/>
    <w:rsid w:val="00EE6F07"/>
    <w:rsid w:val="00EF51C3"/>
    <w:rsid w:val="00EF6140"/>
    <w:rsid w:val="00F11DFB"/>
    <w:rsid w:val="00F13F5B"/>
    <w:rsid w:val="00F217B3"/>
    <w:rsid w:val="00F465B6"/>
    <w:rsid w:val="00F5475C"/>
    <w:rsid w:val="00F74CF0"/>
    <w:rsid w:val="00F8484B"/>
    <w:rsid w:val="00FA39FE"/>
    <w:rsid w:val="00FA4C73"/>
    <w:rsid w:val="00FB122D"/>
    <w:rsid w:val="00FC6252"/>
    <w:rsid w:val="00FC75F9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C73B9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  <w:style w:type="character" w:styleId="af">
    <w:name w:val="Emphasis"/>
    <w:qFormat/>
    <w:locked/>
    <w:rsid w:val="00CD1A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Галкина Кристина Николаевна</cp:lastModifiedBy>
  <cp:revision>3</cp:revision>
  <cp:lastPrinted>2023-09-11T12:31:00Z</cp:lastPrinted>
  <dcterms:created xsi:type="dcterms:W3CDTF">2024-10-15T10:13:00Z</dcterms:created>
  <dcterms:modified xsi:type="dcterms:W3CDTF">2024-10-15T10:36:00Z</dcterms:modified>
</cp:coreProperties>
</file>