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CF4" w:rsidRDefault="006E1CF4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6E1CF4" w:rsidRDefault="006E1CF4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</w:p>
    <w:p w:rsidR="002D7491" w:rsidRPr="00916C67" w:rsidRDefault="005F761B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</w:t>
      </w:r>
      <w:r w:rsidR="001447FF" w:rsidRPr="00916C67">
        <w:rPr>
          <w:rFonts w:ascii="PT Astra Serif" w:hAnsi="PT Astra Serif"/>
          <w:sz w:val="28"/>
          <w:szCs w:val="28"/>
        </w:rPr>
        <w:t>иложение</w:t>
      </w:r>
      <w:r w:rsidR="002D7491" w:rsidRPr="00916C67">
        <w:rPr>
          <w:rFonts w:ascii="PT Astra Serif" w:hAnsi="PT Astra Serif"/>
          <w:sz w:val="28"/>
          <w:szCs w:val="28"/>
        </w:rPr>
        <w:t xml:space="preserve"> </w:t>
      </w:r>
      <w:r w:rsidR="003E60E8" w:rsidRPr="00916C67">
        <w:rPr>
          <w:rFonts w:ascii="PT Astra Serif" w:hAnsi="PT Astra Serif"/>
          <w:sz w:val="28"/>
          <w:szCs w:val="28"/>
        </w:rPr>
        <w:t xml:space="preserve">к приказу </w:t>
      </w:r>
    </w:p>
    <w:p w:rsidR="005F761B" w:rsidRPr="00916C67" w:rsidRDefault="003E60E8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от_______</w:t>
      </w:r>
      <w:r w:rsidR="002D7491" w:rsidRPr="00916C67">
        <w:rPr>
          <w:rFonts w:ascii="PT Astra Serif" w:hAnsi="PT Astra Serif"/>
          <w:sz w:val="28"/>
          <w:szCs w:val="28"/>
        </w:rPr>
        <w:t>___</w:t>
      </w:r>
      <w:r w:rsidRPr="00916C67">
        <w:rPr>
          <w:rFonts w:ascii="PT Astra Serif" w:hAnsi="PT Astra Serif"/>
          <w:sz w:val="28"/>
          <w:szCs w:val="28"/>
        </w:rPr>
        <w:t>_____ №_____</w:t>
      </w:r>
      <w:r w:rsidR="002D7491" w:rsidRPr="00916C67">
        <w:rPr>
          <w:rFonts w:ascii="PT Astra Serif" w:hAnsi="PT Astra Serif"/>
          <w:sz w:val="28"/>
          <w:szCs w:val="28"/>
        </w:rPr>
        <w:t>___</w:t>
      </w:r>
      <w:r w:rsidRPr="00916C67">
        <w:rPr>
          <w:rFonts w:ascii="PT Astra Serif" w:hAnsi="PT Astra Serif"/>
          <w:sz w:val="28"/>
          <w:szCs w:val="28"/>
        </w:rPr>
        <w:t>_</w:t>
      </w:r>
    </w:p>
    <w:p w:rsidR="00950193" w:rsidRPr="00916C67" w:rsidRDefault="00950193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815C4B" w:rsidRPr="00916C67" w:rsidRDefault="00815C4B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352902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Программа 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контроля в сфере благоустройства на территории муниципального образования город Тула на 202</w:t>
      </w:r>
      <w:r w:rsidR="00A62CF6" w:rsidRPr="00A62CF6">
        <w:rPr>
          <w:rFonts w:ascii="PT Astra Serif" w:hAnsi="PT Astra Serif"/>
          <w:b/>
          <w:sz w:val="28"/>
          <w:szCs w:val="28"/>
        </w:rPr>
        <w:t>5</w:t>
      </w:r>
      <w:r w:rsidRPr="00916C67">
        <w:rPr>
          <w:rFonts w:ascii="PT Astra Serif" w:hAnsi="PT Astra Serif"/>
          <w:b/>
          <w:sz w:val="28"/>
          <w:szCs w:val="28"/>
        </w:rPr>
        <w:t xml:space="preserve"> год</w:t>
      </w:r>
    </w:p>
    <w:p w:rsidR="00352902" w:rsidRPr="00916C67" w:rsidRDefault="00352902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5F761B" w:rsidRPr="00916C67" w:rsidRDefault="005F761B" w:rsidP="00DC103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Программа профилактики рисков причинения вреда (ущерба) охраняемым законом ценностям в сфере осуществления муниципального контроля в сфере благоустройства на территории муниципальног</w:t>
      </w:r>
      <w:r w:rsidR="00D62D8B" w:rsidRPr="00916C67">
        <w:rPr>
          <w:rFonts w:ascii="PT Astra Serif" w:hAnsi="PT Astra Serif"/>
          <w:sz w:val="28"/>
          <w:szCs w:val="28"/>
        </w:rPr>
        <w:t>о образования город Тула на 202</w:t>
      </w:r>
      <w:r w:rsidR="00A62CF6" w:rsidRPr="00A62CF6">
        <w:rPr>
          <w:rFonts w:ascii="PT Astra Serif" w:hAnsi="PT Astra Serif"/>
          <w:sz w:val="28"/>
          <w:szCs w:val="28"/>
        </w:rPr>
        <w:t>5</w:t>
      </w:r>
      <w:r w:rsidRPr="00916C67">
        <w:rPr>
          <w:rFonts w:ascii="PT Astra Serif" w:hAnsi="PT Astra Serif"/>
          <w:sz w:val="28"/>
          <w:szCs w:val="28"/>
        </w:rPr>
        <w:t xml:space="preserve"> год (далее - Программа профилактики) разработана управлением по административно-техническому надзору администрации города Тулы </w:t>
      </w:r>
      <w:r w:rsidR="00C83391" w:rsidRPr="00916C67">
        <w:rPr>
          <w:rFonts w:ascii="PT Astra Serif" w:hAnsi="PT Astra Serif"/>
          <w:sz w:val="28"/>
          <w:szCs w:val="28"/>
        </w:rPr>
        <w:t xml:space="preserve">в соответствии со статьей 44 Федерального закона от 31 июля </w:t>
      </w:r>
      <w:r w:rsidRPr="00916C67">
        <w:rPr>
          <w:rFonts w:ascii="PT Astra Serif" w:hAnsi="PT Astra Serif"/>
          <w:sz w:val="28"/>
          <w:szCs w:val="28"/>
        </w:rPr>
        <w:t>2020</w:t>
      </w:r>
      <w:r w:rsidR="00C83391" w:rsidRPr="00916C67">
        <w:rPr>
          <w:rFonts w:ascii="PT Astra Serif" w:hAnsi="PT Astra Serif"/>
          <w:sz w:val="28"/>
          <w:szCs w:val="28"/>
        </w:rPr>
        <w:t xml:space="preserve"> года</w:t>
      </w:r>
      <w:r w:rsidRPr="00916C67">
        <w:rPr>
          <w:rFonts w:ascii="PT Astra Serif" w:hAnsi="PT Astra Serif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Тульской городской</w:t>
      </w:r>
      <w:r w:rsidR="00B45F08" w:rsidRPr="00916C67">
        <w:rPr>
          <w:rFonts w:ascii="PT Astra Serif" w:hAnsi="PT Astra Serif"/>
          <w:sz w:val="28"/>
          <w:szCs w:val="28"/>
        </w:rPr>
        <w:t xml:space="preserve"> Думы от 29.09.2021 № 27/578 «О </w:t>
      </w:r>
      <w:r w:rsidRPr="00916C67">
        <w:rPr>
          <w:rFonts w:ascii="PT Astra Serif" w:hAnsi="PT Astra Serif"/>
          <w:sz w:val="28"/>
          <w:szCs w:val="28"/>
        </w:rPr>
        <w:t>Положении «О муниципальном контроле в сфере благоустройства».</w:t>
      </w:r>
    </w:p>
    <w:p w:rsidR="005038A3" w:rsidRDefault="005038A3" w:rsidP="00DC103A">
      <w:pPr>
        <w:jc w:val="center"/>
        <w:rPr>
          <w:rFonts w:ascii="PT Astra Serif" w:hAnsi="PT Astra Serif"/>
          <w:b/>
          <w:sz w:val="28"/>
          <w:szCs w:val="28"/>
        </w:rPr>
      </w:pPr>
    </w:p>
    <w:p w:rsidR="005F761B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1. Анализ текущего состояния осуществления вида контроля,</w:t>
      </w:r>
    </w:p>
    <w:p w:rsidR="005F761B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5F761B" w:rsidRPr="00916C67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К отношениям, связанным с осуществлением муниципального контроля в сфере благоустройства применяются положения </w:t>
      </w:r>
      <w:r w:rsidR="00C83391" w:rsidRPr="00916C67">
        <w:rPr>
          <w:rFonts w:ascii="PT Astra Serif" w:hAnsi="PT Astra Serif"/>
          <w:sz w:val="28"/>
          <w:szCs w:val="28"/>
        </w:rPr>
        <w:t xml:space="preserve">Федерального закона от 31 июля 2020 года № 248-ФЗ «О государственном </w:t>
      </w:r>
      <w:r w:rsidR="00306962" w:rsidRPr="00916C67">
        <w:rPr>
          <w:rFonts w:ascii="PT Astra Serif" w:hAnsi="PT Astra Serif"/>
          <w:sz w:val="28"/>
          <w:szCs w:val="28"/>
        </w:rPr>
        <w:br/>
      </w:r>
      <w:r w:rsidR="00C83391" w:rsidRPr="00916C67">
        <w:rPr>
          <w:rFonts w:ascii="PT Astra Serif" w:hAnsi="PT Astra Serif"/>
          <w:sz w:val="28"/>
          <w:szCs w:val="28"/>
        </w:rPr>
        <w:t>контроле (надзоре) и муниципальном контроле в Российской Федерации» (далее –</w:t>
      </w:r>
      <w:r w:rsidR="004A6D5A">
        <w:rPr>
          <w:rFonts w:ascii="PT Astra Serif" w:hAnsi="PT Astra Serif"/>
          <w:sz w:val="28"/>
          <w:szCs w:val="28"/>
        </w:rPr>
        <w:t xml:space="preserve"> </w:t>
      </w:r>
      <w:r w:rsidR="004A6D5A" w:rsidRPr="004A6D5A">
        <w:rPr>
          <w:rFonts w:ascii="PT Astra Serif" w:hAnsi="PT Astra Serif"/>
          <w:sz w:val="28"/>
          <w:szCs w:val="28"/>
        </w:rPr>
        <w:t>Федеральн</w:t>
      </w:r>
      <w:r w:rsidR="004A6D5A">
        <w:rPr>
          <w:rFonts w:ascii="PT Astra Serif" w:hAnsi="PT Astra Serif"/>
          <w:sz w:val="28"/>
          <w:szCs w:val="28"/>
        </w:rPr>
        <w:t>ый закон</w:t>
      </w:r>
      <w:r w:rsidR="004A6D5A" w:rsidRPr="004A6D5A">
        <w:rPr>
          <w:rFonts w:ascii="PT Astra Serif" w:hAnsi="PT Astra Serif"/>
          <w:sz w:val="28"/>
          <w:szCs w:val="28"/>
        </w:rPr>
        <w:t xml:space="preserve"> </w:t>
      </w:r>
      <w:r w:rsidR="004A6D5A">
        <w:rPr>
          <w:rFonts w:ascii="PT Astra Serif" w:hAnsi="PT Astra Serif"/>
          <w:sz w:val="28"/>
          <w:szCs w:val="28"/>
        </w:rPr>
        <w:t>«</w:t>
      </w:r>
      <w:r w:rsidR="004A6D5A"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 w:rsidR="004A6D5A">
        <w:rPr>
          <w:rFonts w:ascii="PT Astra Serif" w:hAnsi="PT Astra Serif"/>
          <w:sz w:val="28"/>
          <w:szCs w:val="28"/>
        </w:rPr>
        <w:t>дерации»</w:t>
      </w:r>
      <w:r w:rsidR="00C83391" w:rsidRPr="00916C67">
        <w:rPr>
          <w:rFonts w:ascii="PT Astra Serif" w:hAnsi="PT Astra Serif"/>
          <w:sz w:val="28"/>
          <w:szCs w:val="28"/>
        </w:rPr>
        <w:t>)</w:t>
      </w:r>
      <w:r w:rsidRPr="00916C67">
        <w:rPr>
          <w:rFonts w:ascii="PT Astra Serif" w:hAnsi="PT Astra Serif"/>
          <w:sz w:val="28"/>
          <w:szCs w:val="28"/>
        </w:rPr>
        <w:t>,</w:t>
      </w:r>
      <w:r w:rsidR="00610726" w:rsidRPr="00916C67">
        <w:rPr>
          <w:rFonts w:ascii="PT Astra Serif" w:hAnsi="PT Astra Serif"/>
          <w:sz w:val="28"/>
          <w:szCs w:val="28"/>
        </w:rPr>
        <w:t xml:space="preserve"> 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</w:t>
      </w:r>
      <w:r w:rsidRPr="00916C67">
        <w:rPr>
          <w:rFonts w:ascii="PT Astra Serif" w:hAnsi="PT Astra Serif"/>
          <w:sz w:val="28"/>
          <w:szCs w:val="28"/>
        </w:rPr>
        <w:t xml:space="preserve">решения Тульской городской Думы от 29.09.2021 № 27/578 </w:t>
      </w:r>
      <w:r w:rsidR="00987AF8">
        <w:rPr>
          <w:rFonts w:ascii="PT Astra Serif" w:hAnsi="PT Astra Serif"/>
          <w:sz w:val="28"/>
          <w:szCs w:val="28"/>
        </w:rPr>
        <w:br/>
      </w:r>
      <w:r w:rsidRPr="00916C67">
        <w:rPr>
          <w:rFonts w:ascii="PT Astra Serif" w:hAnsi="PT Astra Serif"/>
          <w:sz w:val="28"/>
          <w:szCs w:val="28"/>
        </w:rPr>
        <w:t>«О Положении «О муниципальном контроле в сфере благоустройства».</w:t>
      </w:r>
    </w:p>
    <w:p w:rsidR="00014D44" w:rsidRPr="00916C67" w:rsidRDefault="00014D44" w:rsidP="00E00657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Предметом муниципального контроля в сфере благоустройства является соблюдение юридическими лицами, индивидуальными предпринимателями и гражданами</w:t>
      </w:r>
      <w:r w:rsidR="00B45F08" w:rsidRPr="00916C67">
        <w:rPr>
          <w:rFonts w:ascii="PT Astra Serif" w:hAnsi="PT Astra Serif"/>
          <w:sz w:val="28"/>
          <w:szCs w:val="28"/>
        </w:rPr>
        <w:t xml:space="preserve"> (далее – контролируемые лица)</w:t>
      </w:r>
      <w:r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lastRenderedPageBreak/>
        <w:t>требований, установленных Правилами благоустройства территории муниципального образования город Тула</w:t>
      </w:r>
      <w:r w:rsidR="00FC75F9" w:rsidRPr="00916C67">
        <w:rPr>
          <w:rFonts w:ascii="PT Astra Serif" w:hAnsi="PT Astra Serif"/>
          <w:sz w:val="28"/>
          <w:szCs w:val="28"/>
        </w:rPr>
        <w:t xml:space="preserve"> (далее – обязательные требования).</w:t>
      </w:r>
    </w:p>
    <w:p w:rsidR="005F761B" w:rsidRPr="00916C67" w:rsidRDefault="005F761B" w:rsidP="00DC103A">
      <w:pPr>
        <w:pStyle w:val="a8"/>
        <w:numPr>
          <w:ilvl w:val="0"/>
          <w:numId w:val="3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Программа профилактики направлена на повышение эффективности предупреждения нарушений обязательных требований и повышение правовой грамотности контролируемых лиц.</w:t>
      </w:r>
    </w:p>
    <w:p w:rsidR="00336776" w:rsidRPr="00916C67" w:rsidRDefault="0095209A" w:rsidP="00336776">
      <w:pPr>
        <w:pStyle w:val="a8"/>
        <w:numPr>
          <w:ilvl w:val="0"/>
          <w:numId w:val="3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Основны</w:t>
      </w:r>
      <w:r>
        <w:rPr>
          <w:rFonts w:ascii="PT Astra Serif" w:hAnsi="PT Astra Serif"/>
          <w:sz w:val="28"/>
          <w:szCs w:val="28"/>
        </w:rPr>
        <w:t>е</w:t>
      </w:r>
      <w:r w:rsidRPr="00916C67">
        <w:rPr>
          <w:rFonts w:ascii="PT Astra Serif" w:hAnsi="PT Astra Serif"/>
          <w:sz w:val="28"/>
          <w:szCs w:val="28"/>
        </w:rPr>
        <w:t xml:space="preserve"> риск</w:t>
      </w:r>
      <w:r>
        <w:rPr>
          <w:rFonts w:ascii="PT Astra Serif" w:hAnsi="PT Astra Serif"/>
          <w:sz w:val="28"/>
          <w:szCs w:val="28"/>
        </w:rPr>
        <w:t>и</w:t>
      </w:r>
      <w:r w:rsidRPr="00916C67">
        <w:rPr>
          <w:rFonts w:ascii="PT Astra Serif" w:hAnsi="PT Astra Serif"/>
          <w:sz w:val="28"/>
          <w:szCs w:val="28"/>
        </w:rPr>
        <w:t xml:space="preserve"> в деятельности контролируемых лиц </w:t>
      </w:r>
      <w:r>
        <w:rPr>
          <w:rFonts w:ascii="PT Astra Serif" w:hAnsi="PT Astra Serif"/>
          <w:sz w:val="28"/>
          <w:szCs w:val="28"/>
        </w:rPr>
        <w:t xml:space="preserve">заключаются в несоблюдении </w:t>
      </w:r>
      <w:r w:rsidR="00336776" w:rsidRPr="00916C67">
        <w:rPr>
          <w:rFonts w:ascii="PT Astra Serif" w:hAnsi="PT Astra Serif"/>
          <w:sz w:val="28"/>
          <w:szCs w:val="28"/>
        </w:rPr>
        <w:t>юридическими лицами, индивидуальными предпринимателями и гражданами</w:t>
      </w:r>
      <w:r w:rsidRPr="0095209A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>обязательных требований</w:t>
      </w:r>
      <w:r w:rsidR="00336776" w:rsidRPr="00916C67">
        <w:rPr>
          <w:rFonts w:ascii="PT Astra Serif" w:hAnsi="PT Astra Serif"/>
          <w:sz w:val="28"/>
          <w:szCs w:val="28"/>
        </w:rPr>
        <w:t>.</w:t>
      </w:r>
    </w:p>
    <w:p w:rsidR="00DC103A" w:rsidRPr="00916C67" w:rsidRDefault="005F761B" w:rsidP="00DC103A">
      <w:pPr>
        <w:pStyle w:val="a8"/>
        <w:numPr>
          <w:ilvl w:val="0"/>
          <w:numId w:val="3"/>
        </w:numPr>
        <w:ind w:left="0" w:right="6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целях предотвращения рисков причинения вреда охраняемым законом ценностям, предупреждения нарушений обязательных требований</w:t>
      </w:r>
      <w:r w:rsidR="00610726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проведены профилактические мероприятия, предусмотренные планом- графиком, установленным </w:t>
      </w:r>
      <w:r w:rsidR="00B613B7" w:rsidRPr="00916C67">
        <w:rPr>
          <w:rFonts w:ascii="PT Astra Serif" w:hAnsi="PT Astra Serif"/>
          <w:sz w:val="28"/>
          <w:szCs w:val="28"/>
        </w:rPr>
        <w:t>П</w:t>
      </w:r>
      <w:r w:rsidR="00DC103A" w:rsidRPr="00916C67">
        <w:rPr>
          <w:rFonts w:ascii="PT Astra Serif" w:hAnsi="PT Astra Serif"/>
          <w:sz w:val="28"/>
          <w:szCs w:val="28"/>
        </w:rPr>
        <w:t>рограммой профилактики на 202</w:t>
      </w:r>
      <w:r w:rsidR="00A62CF6" w:rsidRPr="00A62CF6">
        <w:rPr>
          <w:rFonts w:ascii="PT Astra Serif" w:hAnsi="PT Astra Serif"/>
          <w:sz w:val="28"/>
          <w:szCs w:val="28"/>
        </w:rPr>
        <w:t>4</w:t>
      </w:r>
      <w:r w:rsidR="00DC103A" w:rsidRPr="00916C67">
        <w:rPr>
          <w:rFonts w:ascii="PT Astra Serif" w:hAnsi="PT Astra Serif"/>
          <w:sz w:val="28"/>
          <w:szCs w:val="28"/>
        </w:rPr>
        <w:t xml:space="preserve"> год. </w:t>
      </w:r>
    </w:p>
    <w:p w:rsidR="005F761B" w:rsidRPr="009E2CEC" w:rsidRDefault="00B444F8" w:rsidP="00B444F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Н</w:t>
      </w:r>
      <w:r w:rsidR="00DC103A" w:rsidRPr="00916C67">
        <w:rPr>
          <w:rFonts w:ascii="PT Astra Serif" w:hAnsi="PT Astra Serif"/>
          <w:sz w:val="28"/>
          <w:szCs w:val="28"/>
        </w:rPr>
        <w:t xml:space="preserve">а официальном сайте администрации города Тула </w:t>
      </w:r>
      <w:r w:rsidR="00306962" w:rsidRPr="00916C67">
        <w:rPr>
          <w:rFonts w:ascii="PT Astra Serif" w:hAnsi="PT Astra Serif"/>
          <w:sz w:val="28"/>
          <w:szCs w:val="28"/>
        </w:rPr>
        <w:t>в информационно-телекоммуникационной сети «Интернет» в разделе управления по административно-техническому надзору администрации города Тулы</w:t>
      </w:r>
      <w:r w:rsidR="00916C67" w:rsidRPr="00916C67">
        <w:rPr>
          <w:rFonts w:ascii="PT Astra Serif" w:hAnsi="PT Astra Serif"/>
          <w:sz w:val="28"/>
          <w:szCs w:val="28"/>
        </w:rPr>
        <w:t xml:space="preserve"> (далее – Управление)</w:t>
      </w:r>
      <w:r w:rsidR="00306962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размещён </w:t>
      </w:r>
      <w:r w:rsidR="005F761B" w:rsidRPr="00916C67">
        <w:rPr>
          <w:rFonts w:ascii="PT Astra Serif" w:hAnsi="PT Astra Serif"/>
          <w:sz w:val="28"/>
          <w:szCs w:val="28"/>
        </w:rPr>
        <w:t>перечень нормативных правовых актов или их отдельных частей (положений), содержащих обязательные требования, соблюдение которых оценивается при осуществлении муниципального контроля в сфере благоустройства</w:t>
      </w:r>
      <w:r w:rsidR="00E00657">
        <w:rPr>
          <w:rFonts w:ascii="PT Astra Serif" w:hAnsi="PT Astra Serif"/>
          <w:sz w:val="28"/>
          <w:szCs w:val="28"/>
        </w:rPr>
        <w:t>.</w:t>
      </w:r>
    </w:p>
    <w:p w:rsidR="00DC103A" w:rsidRPr="00916C67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При осуществлении муниципального контроля в сфере благоустройства в отношении </w:t>
      </w:r>
      <w:r w:rsidR="0091775B">
        <w:rPr>
          <w:rFonts w:ascii="PT Astra Serif" w:hAnsi="PT Astra Serif"/>
          <w:sz w:val="28"/>
          <w:szCs w:val="28"/>
        </w:rPr>
        <w:t>контролируемых лиц</w:t>
      </w:r>
      <w:r w:rsidRPr="00916C67">
        <w:rPr>
          <w:rFonts w:ascii="PT Astra Serif" w:hAnsi="PT Astra Serif"/>
          <w:sz w:val="28"/>
          <w:szCs w:val="28"/>
        </w:rPr>
        <w:t xml:space="preserve"> в 202</w:t>
      </w:r>
      <w:r w:rsidR="00A62CF6" w:rsidRPr="00A62CF6">
        <w:rPr>
          <w:rFonts w:ascii="PT Astra Serif" w:hAnsi="PT Astra Serif"/>
          <w:sz w:val="28"/>
          <w:szCs w:val="28"/>
        </w:rPr>
        <w:t>4</w:t>
      </w:r>
      <w:r w:rsidRPr="00916C67">
        <w:rPr>
          <w:rFonts w:ascii="PT Astra Serif" w:hAnsi="PT Astra Serif"/>
          <w:sz w:val="28"/>
          <w:szCs w:val="28"/>
        </w:rPr>
        <w:t xml:space="preserve"> году применяются положения </w:t>
      </w:r>
      <w:r w:rsidR="004A6D5A" w:rsidRPr="004A6D5A">
        <w:rPr>
          <w:rFonts w:ascii="PT Astra Serif" w:hAnsi="PT Astra Serif"/>
          <w:sz w:val="28"/>
          <w:szCs w:val="28"/>
        </w:rPr>
        <w:t>Федеральн</w:t>
      </w:r>
      <w:r w:rsidR="004A6D5A">
        <w:rPr>
          <w:rFonts w:ascii="PT Astra Serif" w:hAnsi="PT Astra Serif"/>
          <w:sz w:val="28"/>
          <w:szCs w:val="28"/>
        </w:rPr>
        <w:t>ого закона</w:t>
      </w:r>
      <w:r w:rsidR="004A6D5A" w:rsidRPr="004A6D5A">
        <w:rPr>
          <w:rFonts w:ascii="PT Astra Serif" w:hAnsi="PT Astra Serif"/>
          <w:sz w:val="28"/>
          <w:szCs w:val="28"/>
        </w:rPr>
        <w:t xml:space="preserve"> </w:t>
      </w:r>
      <w:r w:rsidR="004A6D5A">
        <w:rPr>
          <w:rFonts w:ascii="PT Astra Serif" w:hAnsi="PT Astra Serif"/>
          <w:sz w:val="28"/>
          <w:szCs w:val="28"/>
        </w:rPr>
        <w:t>«</w:t>
      </w:r>
      <w:r w:rsidR="004A6D5A"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 w:rsidR="004A6D5A">
        <w:rPr>
          <w:rFonts w:ascii="PT Astra Serif" w:hAnsi="PT Astra Serif"/>
          <w:sz w:val="28"/>
          <w:szCs w:val="28"/>
        </w:rPr>
        <w:t>дерации»</w:t>
      </w:r>
      <w:r w:rsidR="00DC103A" w:rsidRPr="00916C67">
        <w:rPr>
          <w:rFonts w:ascii="PT Astra Serif" w:hAnsi="PT Astra Serif"/>
          <w:sz w:val="28"/>
          <w:szCs w:val="28"/>
        </w:rPr>
        <w:t>, 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решения Тульской городской</w:t>
      </w:r>
      <w:r w:rsidR="00B45F08" w:rsidRPr="00916C67">
        <w:rPr>
          <w:rFonts w:ascii="PT Astra Serif" w:hAnsi="PT Astra Serif"/>
          <w:sz w:val="28"/>
          <w:szCs w:val="28"/>
        </w:rPr>
        <w:t xml:space="preserve"> Думы от 29.09.2021 № 27/578 «О </w:t>
      </w:r>
      <w:r w:rsidR="00DC103A" w:rsidRPr="00916C67">
        <w:rPr>
          <w:rFonts w:ascii="PT Astra Serif" w:hAnsi="PT Astra Serif"/>
          <w:sz w:val="28"/>
          <w:szCs w:val="28"/>
        </w:rPr>
        <w:t>Положении «О муниципальном контроле в сфере благоустройства».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202</w:t>
      </w:r>
      <w:r w:rsidR="00A62CF6" w:rsidRPr="00A62CF6">
        <w:rPr>
          <w:rFonts w:ascii="PT Astra Serif" w:hAnsi="PT Astra Serif"/>
          <w:sz w:val="28"/>
          <w:szCs w:val="28"/>
        </w:rPr>
        <w:t>4</w:t>
      </w:r>
      <w:r w:rsidRPr="00916C67">
        <w:rPr>
          <w:rFonts w:ascii="PT Astra Serif" w:hAnsi="PT Astra Serif"/>
          <w:sz w:val="28"/>
          <w:szCs w:val="28"/>
        </w:rPr>
        <w:t xml:space="preserve"> году в отношении </w:t>
      </w:r>
      <w:r w:rsidR="00DC55D1" w:rsidRPr="00916C67">
        <w:rPr>
          <w:rFonts w:ascii="PT Astra Serif" w:hAnsi="PT Astra Serif"/>
          <w:sz w:val="28"/>
          <w:szCs w:val="28"/>
        </w:rPr>
        <w:t>контролируемых лиц,</w:t>
      </w:r>
      <w:r w:rsidRPr="00916C67">
        <w:rPr>
          <w:rFonts w:ascii="PT Astra Serif" w:hAnsi="PT Astra Serif"/>
          <w:sz w:val="28"/>
          <w:szCs w:val="28"/>
        </w:rPr>
        <w:t xml:space="preserve"> осуществляющих деятельность на территории муниципального образования город Тула, плановые и внеплановые проверки Управлением не проводились.</w:t>
      </w:r>
    </w:p>
    <w:p w:rsidR="00703B7E" w:rsidRPr="00916C67" w:rsidRDefault="00703B7E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За </w:t>
      </w:r>
      <w:r w:rsidR="00EA1CA6">
        <w:rPr>
          <w:rFonts w:ascii="PT Astra Serif" w:hAnsi="PT Astra Serif"/>
          <w:sz w:val="28"/>
          <w:szCs w:val="28"/>
        </w:rPr>
        <w:t>9</w:t>
      </w:r>
      <w:r w:rsidRPr="00916C67">
        <w:rPr>
          <w:rFonts w:ascii="PT Astra Serif" w:hAnsi="PT Astra Serif"/>
          <w:sz w:val="28"/>
          <w:szCs w:val="28"/>
        </w:rPr>
        <w:t xml:space="preserve"> месяцев 202</w:t>
      </w:r>
      <w:r w:rsidR="00EA1CA6">
        <w:rPr>
          <w:rFonts w:ascii="PT Astra Serif" w:hAnsi="PT Astra Serif"/>
          <w:sz w:val="28"/>
          <w:szCs w:val="28"/>
        </w:rPr>
        <w:t>4</w:t>
      </w:r>
      <w:r w:rsidR="005F03C9" w:rsidRPr="00916C67">
        <w:rPr>
          <w:rFonts w:ascii="PT Astra Serif" w:hAnsi="PT Astra Serif"/>
          <w:sz w:val="28"/>
          <w:szCs w:val="28"/>
        </w:rPr>
        <w:t xml:space="preserve"> года Управлением </w:t>
      </w:r>
      <w:r w:rsidR="004719CF">
        <w:rPr>
          <w:rFonts w:ascii="PT Astra Serif" w:hAnsi="PT Astra Serif"/>
          <w:sz w:val="28"/>
          <w:szCs w:val="28"/>
        </w:rPr>
        <w:t>в результате</w:t>
      </w:r>
      <w:r w:rsidR="005F03C9" w:rsidRPr="00916C67">
        <w:rPr>
          <w:rFonts w:ascii="PT Astra Serif" w:hAnsi="PT Astra Serif"/>
          <w:sz w:val="28"/>
          <w:szCs w:val="28"/>
        </w:rPr>
        <w:t xml:space="preserve"> </w:t>
      </w:r>
      <w:r w:rsidR="007F1B44">
        <w:rPr>
          <w:rFonts w:ascii="PT Astra Serif" w:hAnsi="PT Astra Serif"/>
          <w:sz w:val="28"/>
          <w:szCs w:val="28"/>
        </w:rPr>
        <w:t xml:space="preserve">проведения </w:t>
      </w:r>
      <w:r w:rsidR="005F03C9" w:rsidRPr="00916C67">
        <w:rPr>
          <w:rFonts w:ascii="PT Astra Serif" w:hAnsi="PT Astra Serif"/>
          <w:sz w:val="28"/>
          <w:szCs w:val="28"/>
        </w:rPr>
        <w:t xml:space="preserve">контрольных (надзорных) мероприятий без взаимодействия с контролируемыми лицами, выдано </w:t>
      </w:r>
      <w:r w:rsidR="004719CF">
        <w:rPr>
          <w:rFonts w:ascii="PT Astra Serif" w:hAnsi="PT Astra Serif"/>
          <w:sz w:val="28"/>
          <w:szCs w:val="28"/>
        </w:rPr>
        <w:t>1586</w:t>
      </w:r>
      <w:r w:rsidR="005F03C9" w:rsidRPr="00916C67">
        <w:rPr>
          <w:rFonts w:ascii="PT Astra Serif" w:hAnsi="PT Astra Serif"/>
          <w:sz w:val="28"/>
          <w:szCs w:val="28"/>
        </w:rPr>
        <w:t xml:space="preserve"> предписани</w:t>
      </w:r>
      <w:r w:rsidR="004719CF">
        <w:rPr>
          <w:rFonts w:ascii="PT Astra Serif" w:hAnsi="PT Astra Serif"/>
          <w:sz w:val="28"/>
          <w:szCs w:val="28"/>
        </w:rPr>
        <w:t>й</w:t>
      </w:r>
      <w:r w:rsidR="005F03C9" w:rsidRPr="00916C67">
        <w:rPr>
          <w:rFonts w:ascii="PT Astra Serif" w:hAnsi="PT Astra Serif"/>
          <w:sz w:val="28"/>
          <w:szCs w:val="28"/>
        </w:rPr>
        <w:t xml:space="preserve">, а также выдано </w:t>
      </w:r>
      <w:r w:rsidR="004719CF">
        <w:rPr>
          <w:rFonts w:ascii="PT Astra Serif" w:hAnsi="PT Astra Serif"/>
          <w:sz w:val="28"/>
          <w:szCs w:val="28"/>
        </w:rPr>
        <w:t>19</w:t>
      </w:r>
      <w:r w:rsidR="005F03C9" w:rsidRPr="00916C67">
        <w:rPr>
          <w:rFonts w:ascii="PT Astra Serif" w:hAnsi="PT Astra Serif"/>
          <w:sz w:val="28"/>
          <w:szCs w:val="28"/>
        </w:rPr>
        <w:t xml:space="preserve"> предостережени</w:t>
      </w:r>
      <w:r w:rsidR="004719CF">
        <w:rPr>
          <w:rFonts w:ascii="PT Astra Serif" w:hAnsi="PT Astra Serif"/>
          <w:sz w:val="28"/>
          <w:szCs w:val="28"/>
        </w:rPr>
        <w:t>й</w:t>
      </w:r>
      <w:r w:rsidR="005F03C9" w:rsidRPr="00916C67">
        <w:rPr>
          <w:rFonts w:ascii="PT Astra Serif" w:hAnsi="PT Astra Serif"/>
          <w:sz w:val="28"/>
          <w:szCs w:val="28"/>
        </w:rPr>
        <w:t>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Для оценки мероприятий по профилактике нарушений и в целом Программы профилактики на 202</w:t>
      </w:r>
      <w:r w:rsidR="00EA1CA6">
        <w:rPr>
          <w:rFonts w:ascii="PT Astra Serif" w:hAnsi="PT Astra Serif"/>
          <w:sz w:val="28"/>
          <w:szCs w:val="28"/>
        </w:rPr>
        <w:t>4</w:t>
      </w:r>
      <w:r w:rsidRPr="00916C67">
        <w:rPr>
          <w:rFonts w:ascii="PT Astra Serif" w:hAnsi="PT Astra Serif"/>
          <w:sz w:val="28"/>
          <w:szCs w:val="28"/>
        </w:rPr>
        <w:t xml:space="preserve"> год были установлены следующие отчетные показатели, ориентированные на достижение целей Программы профилактики:</w:t>
      </w:r>
    </w:p>
    <w:p w:rsidR="00815C4B" w:rsidRPr="00916C67" w:rsidRDefault="00815C4B" w:rsidP="00815C4B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  <w:t>информирование контролируемых лиц об обязательных требованиях, соблюдение которых оценивается при проведении Управлением мероприятий по муниципальному контролю в сфере благоустройства,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силу);</w:t>
      </w:r>
    </w:p>
    <w:p w:rsidR="00815C4B" w:rsidRPr="00916C67" w:rsidRDefault="00815C4B" w:rsidP="00815C4B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lastRenderedPageBreak/>
        <w:t>-</w:t>
      </w:r>
      <w:r w:rsidRPr="00916C67">
        <w:rPr>
          <w:rFonts w:ascii="PT Astra Serif" w:hAnsi="PT Astra Serif"/>
          <w:sz w:val="28"/>
          <w:szCs w:val="28"/>
        </w:rPr>
        <w:tab/>
        <w:t xml:space="preserve">выполнение мероприятий, предусмотренных </w:t>
      </w:r>
      <w:r w:rsidR="00B45F08" w:rsidRPr="00916C67">
        <w:rPr>
          <w:rFonts w:ascii="PT Astra Serif" w:hAnsi="PT Astra Serif"/>
          <w:sz w:val="28"/>
          <w:szCs w:val="28"/>
        </w:rPr>
        <w:t>П</w:t>
      </w:r>
      <w:r w:rsidRPr="00916C67">
        <w:rPr>
          <w:rFonts w:ascii="PT Astra Serif" w:hAnsi="PT Astra Serif"/>
          <w:sz w:val="28"/>
          <w:szCs w:val="28"/>
        </w:rPr>
        <w:t>рограммой профилактики в соответствии со сроками и периодичностью их проведения;</w:t>
      </w:r>
    </w:p>
    <w:p w:rsidR="004C3572" w:rsidRPr="00916C67" w:rsidRDefault="00815C4B" w:rsidP="004C3572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</w:r>
      <w:r w:rsidR="004C3572" w:rsidRPr="00916C67">
        <w:rPr>
          <w:rFonts w:ascii="PT Astra Serif" w:hAnsi="PT Astra Serif"/>
          <w:sz w:val="28"/>
          <w:szCs w:val="28"/>
        </w:rPr>
        <w:t xml:space="preserve">подготовка и размещение в сети «Интернет» на сайте администрации города Тулы в разделе «администрация =&gt; отраслевые (функциональные) органы =&gt; управление по административно-техническому надзору =&gt; контрольно-надзорная деятельность» </w:t>
      </w:r>
      <w:r w:rsidR="004C3572" w:rsidRPr="009828B4">
        <w:rPr>
          <w:rFonts w:ascii="PT Astra Serif" w:hAnsi="PT Astra Serif"/>
          <w:sz w:val="28"/>
          <w:szCs w:val="28"/>
        </w:rPr>
        <w:t>информации по итогам обобщения практики при осуществлении контроля за допущенными нарушениями.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Управлением</w:t>
      </w:r>
      <w:r w:rsidR="00916C67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выполняются все мероприятия, предусмотренные </w:t>
      </w:r>
      <w:r w:rsidR="00B45F08" w:rsidRPr="00916C67">
        <w:rPr>
          <w:rFonts w:ascii="PT Astra Serif" w:hAnsi="PT Astra Serif"/>
          <w:sz w:val="28"/>
          <w:szCs w:val="28"/>
        </w:rPr>
        <w:t>П</w:t>
      </w:r>
      <w:r w:rsidRPr="00916C67">
        <w:rPr>
          <w:rFonts w:ascii="PT Astra Serif" w:hAnsi="PT Astra Serif"/>
          <w:sz w:val="28"/>
          <w:szCs w:val="28"/>
        </w:rPr>
        <w:t>рограммой профилактики на 202</w:t>
      </w:r>
      <w:r w:rsidR="00E54003">
        <w:rPr>
          <w:rFonts w:ascii="PT Astra Serif" w:hAnsi="PT Astra Serif"/>
          <w:sz w:val="28"/>
          <w:szCs w:val="28"/>
        </w:rPr>
        <w:t>4</w:t>
      </w:r>
      <w:r w:rsidRPr="00916C67">
        <w:rPr>
          <w:rFonts w:ascii="PT Astra Serif" w:hAnsi="PT Astra Serif"/>
          <w:sz w:val="28"/>
          <w:szCs w:val="28"/>
        </w:rPr>
        <w:t xml:space="preserve"> год, что способствует повышению информативности контролируемых лиц о действующих обязательных требованиях и снижению рисков причинения вреда охраняемым законом ценностям.</w:t>
      </w:r>
    </w:p>
    <w:p w:rsidR="00E96721" w:rsidRPr="00916C67" w:rsidRDefault="00E96721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BD23C4" w:rsidRPr="00916C67" w:rsidRDefault="00BD23C4" w:rsidP="00BD23C4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2. Цели и задачи реализации Программы профилактики</w:t>
      </w:r>
    </w:p>
    <w:p w:rsidR="00E96721" w:rsidRPr="00916C67" w:rsidRDefault="00E96721" w:rsidP="00BD23C4">
      <w:pPr>
        <w:jc w:val="center"/>
        <w:rPr>
          <w:rFonts w:ascii="PT Astra Serif" w:hAnsi="PT Astra Serif"/>
          <w:b/>
          <w:sz w:val="28"/>
          <w:szCs w:val="28"/>
        </w:rPr>
      </w:pPr>
    </w:p>
    <w:p w:rsidR="00BD23C4" w:rsidRPr="00916C67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Целями проведения профилактических мероприятий являются: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предотвращение рисков причинения вреда (ущерба) охраняемым законом ценностям;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предупреждение нарушений обязательных требований (снижение числа нарушений обязательных требований) в подконтрольной сфере на территории муниципального образования город Тула;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мотивация к добросовестному поведению контролируемых лиц и как следствие снижение уровня ущерба охраняемым законом ценностям.</w:t>
      </w:r>
    </w:p>
    <w:p w:rsidR="00BD23C4" w:rsidRPr="00916C67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Проведение Управлением профилактических мероприятий направлено на решение следующих задач: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разъяснение контролируемым лицам обязательных требований;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создание системы консультирования контролируемых лиц, в том числе с использованием современных информационно</w:t>
      </w:r>
      <w:r w:rsidR="00E96721"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>телекоммуникационных технологий;</w:t>
      </w:r>
    </w:p>
    <w:p w:rsidR="00E43D95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C95C1C" w:rsidRPr="00916C67" w:rsidRDefault="00C95C1C" w:rsidP="00C95C1C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lastRenderedPageBreak/>
        <w:t>Раздел 3. Перечень профилактических мероприятий, сроки (периодичность) их проведения</w:t>
      </w:r>
    </w:p>
    <w:p w:rsidR="00C95C1C" w:rsidRPr="00916C67" w:rsidRDefault="00C95C1C" w:rsidP="00C95C1C">
      <w:pPr>
        <w:jc w:val="center"/>
        <w:rPr>
          <w:rFonts w:ascii="PT Astra Serif" w:hAnsi="PT Astra Serif"/>
          <w:b/>
          <w:sz w:val="28"/>
          <w:szCs w:val="28"/>
        </w:rPr>
      </w:pPr>
    </w:p>
    <w:p w:rsidR="00C95C1C" w:rsidRPr="00916C67" w:rsidRDefault="00C95C1C" w:rsidP="00C95C1C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Перечень профилактических мероприятий:</w:t>
      </w:r>
    </w:p>
    <w:p w:rsidR="00C95C1C" w:rsidRPr="00916C67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информирование;</w:t>
      </w:r>
    </w:p>
    <w:p w:rsidR="00C95C1C" w:rsidRPr="00916C67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объявление предостережения;</w:t>
      </w:r>
    </w:p>
    <w:p w:rsidR="00C95C1C" w:rsidRPr="00916C67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консультирование.</w:t>
      </w:r>
    </w:p>
    <w:p w:rsidR="00C95C1C" w:rsidRPr="00916C67" w:rsidRDefault="00C95C1C" w:rsidP="00C95C1C">
      <w:pPr>
        <w:spacing w:before="200" w:after="200"/>
        <w:ind w:right="9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Информирование</w:t>
      </w:r>
    </w:p>
    <w:p w:rsidR="004A6D5A" w:rsidRPr="004A6D5A" w:rsidRDefault="004A6D5A" w:rsidP="004A6D5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>Контрольный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4A6D5A" w:rsidRPr="004A6D5A" w:rsidRDefault="004A6D5A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контрольного органа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4A6D5A">
        <w:rPr>
          <w:rFonts w:ascii="PT Astra Serif" w:hAnsi="PT Astra Serif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4A6D5A" w:rsidRDefault="004A6D5A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 xml:space="preserve">Контрольный орган обязан размещать и поддерживать в актуальном состоянии на своем официальном сайте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4A6D5A">
        <w:rPr>
          <w:rFonts w:ascii="PT Astra Serif" w:hAnsi="PT Astra Serif"/>
          <w:sz w:val="28"/>
          <w:szCs w:val="28"/>
        </w:rPr>
        <w:t xml:space="preserve"> информацию, предусмотренную частью 3 статьи 46 Федерального закона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>
        <w:rPr>
          <w:rFonts w:ascii="PT Astra Serif" w:hAnsi="PT Astra Serif"/>
          <w:sz w:val="28"/>
          <w:szCs w:val="28"/>
        </w:rPr>
        <w:t>дерации»</w:t>
      </w:r>
      <w:r w:rsidRPr="004A6D5A">
        <w:rPr>
          <w:rFonts w:ascii="PT Astra Serif" w:hAnsi="PT Astra Serif"/>
          <w:sz w:val="28"/>
          <w:szCs w:val="28"/>
        </w:rPr>
        <w:t>.</w:t>
      </w:r>
    </w:p>
    <w:p w:rsidR="00C95C1C" w:rsidRDefault="00C95C1C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Сроки (периодичность) информирования</w:t>
      </w:r>
      <w:r w:rsidR="00987AF8">
        <w:rPr>
          <w:rFonts w:ascii="PT Astra Serif" w:hAnsi="PT Astra Serif"/>
          <w:sz w:val="28"/>
          <w:szCs w:val="28"/>
        </w:rPr>
        <w:t>:</w:t>
      </w:r>
      <w:r w:rsidRPr="00916C67">
        <w:rPr>
          <w:rFonts w:ascii="PT Astra Serif" w:hAnsi="PT Astra Serif"/>
          <w:sz w:val="28"/>
          <w:szCs w:val="28"/>
        </w:rPr>
        <w:t xml:space="preserve"> осуществляется постоянно.</w:t>
      </w:r>
    </w:p>
    <w:p w:rsidR="004719CF" w:rsidRPr="00916C67" w:rsidRDefault="004719CF" w:rsidP="004719CF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Ответственные подразделения: сектор контроля по Центральному территориальному округу, сектор контроля по Зареченскому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Привокзальному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Советскому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Пролетарскому территориальному округу управления по административно-техническому надзору администрации города Тулы.</w:t>
      </w:r>
    </w:p>
    <w:p w:rsidR="004719CF" w:rsidRPr="00916C67" w:rsidRDefault="004719CF" w:rsidP="004719CF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4719CF" w:rsidRPr="00916C67" w:rsidRDefault="004719CF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C95C1C" w:rsidRPr="00916C67" w:rsidRDefault="00C95C1C" w:rsidP="00905C8D">
      <w:pPr>
        <w:spacing w:before="200" w:after="200"/>
        <w:ind w:right="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Объявление предостережения</w:t>
      </w:r>
    </w:p>
    <w:p w:rsidR="00E03001" w:rsidRPr="00916C67" w:rsidRDefault="00E03001" w:rsidP="00E0300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C95C1C" w:rsidRPr="00916C67" w:rsidRDefault="00C95C1C" w:rsidP="00905C8D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lastRenderedPageBreak/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«О государственном контроле (надзоре) и муниципальном контроле в Российской Федерации»,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E03001" w:rsidRPr="00916C67" w:rsidRDefault="00E03001" w:rsidP="00905C8D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в срок не позднее 30 дней со дня получения им предостережения.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Возражение должно содержать: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1) наименование контрольного органа, в который направляется возражение;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2) 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3) дату и номер предостережения;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4) доводы, на основании которых контролируемое лицо не согласно с объявленным предостережением;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5) дату получения предостережения контролируемым лицом.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Возражение рассматривается контрольным органом в течение 30 дней со дня регистрации поступившего возражения.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Контролируемому лицу направляется ответ об итогах рассмотрения поступившего возражения в виде бумажного или электронного документа соответственно форме поступившего возражения.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Контрольный орган 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C95C1C" w:rsidRDefault="00C95C1C" w:rsidP="004552B1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Срок (периодичность) проведения данного мероприятия: постоянно, по мере выявления </w:t>
      </w:r>
      <w:r w:rsidR="005E5396" w:rsidRPr="00916C67">
        <w:rPr>
          <w:rFonts w:ascii="PT Astra Serif" w:hAnsi="PT Astra Serif"/>
          <w:sz w:val="28"/>
          <w:szCs w:val="28"/>
        </w:rPr>
        <w:t xml:space="preserve">признаков </w:t>
      </w:r>
      <w:r w:rsidRPr="00916C67">
        <w:rPr>
          <w:rFonts w:ascii="PT Astra Serif" w:hAnsi="PT Astra Serif"/>
          <w:sz w:val="28"/>
          <w:szCs w:val="28"/>
        </w:rPr>
        <w:t>нарушений.</w:t>
      </w:r>
    </w:p>
    <w:p w:rsidR="004719CF" w:rsidRPr="00916C67" w:rsidRDefault="004719CF" w:rsidP="004719CF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Ответственные подразделения: сектор контроля по Центральному территориальному округу, сектор контроля по Зареченскому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сектор контроля по Привокзальному </w:t>
      </w:r>
      <w:r>
        <w:rPr>
          <w:rFonts w:ascii="PT Astra Serif" w:hAnsi="PT Astra Serif"/>
          <w:sz w:val="28"/>
          <w:szCs w:val="28"/>
        </w:rPr>
        <w:lastRenderedPageBreak/>
        <w:t>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Советскому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Пролетарскому территориальному округу управления по административно-техническому надзору администрации города Тулы.</w:t>
      </w:r>
    </w:p>
    <w:p w:rsidR="004719CF" w:rsidRPr="00916C67" w:rsidRDefault="004719CF" w:rsidP="004552B1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C95C1C" w:rsidRPr="00916C67" w:rsidRDefault="00C95C1C" w:rsidP="004552B1">
      <w:pPr>
        <w:spacing w:before="200" w:after="200"/>
        <w:ind w:right="9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</w:t>
      </w:r>
    </w:p>
    <w:p w:rsidR="00EE6F07" w:rsidRPr="00916C67" w:rsidRDefault="00EE6F07" w:rsidP="00EE6F07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Должностное лицо контрольного органа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муниципального контроля). Консультирование осуществляется без взимания платы.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 осуществляется по следующим вопросам: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1)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2) разъяснение положений нормативных правовых актов, регламентирующих порядок осуществления муниципального контроля;</w:t>
      </w:r>
    </w:p>
    <w:p w:rsidR="00EE6F07" w:rsidRPr="00916C67" w:rsidRDefault="00EE6F07" w:rsidP="00EE6F0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3) порядок обжалования решений и действий (бездействия) должностных лиц.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62D8B" w:rsidRPr="00916C67" w:rsidRDefault="00EE6F07" w:rsidP="00D62D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контрольного органа в информационно-телекоммуникационной сети </w:t>
      </w:r>
      <w:r w:rsidR="004A6D5A">
        <w:rPr>
          <w:rFonts w:ascii="PT Astra Serif" w:hAnsi="PT Astra Serif"/>
          <w:sz w:val="28"/>
          <w:szCs w:val="28"/>
        </w:rPr>
        <w:t>«</w:t>
      </w:r>
      <w:r w:rsidRPr="00916C67">
        <w:rPr>
          <w:rFonts w:ascii="PT Astra Serif" w:hAnsi="PT Astra Serif"/>
          <w:sz w:val="28"/>
          <w:szCs w:val="28"/>
        </w:rPr>
        <w:t>Интернет</w:t>
      </w:r>
      <w:r w:rsidR="004A6D5A">
        <w:rPr>
          <w:rFonts w:ascii="PT Astra Serif" w:hAnsi="PT Astra Serif"/>
          <w:sz w:val="28"/>
          <w:szCs w:val="28"/>
        </w:rPr>
        <w:t>»</w:t>
      </w:r>
      <w:r w:rsidRPr="00916C67">
        <w:rPr>
          <w:rFonts w:ascii="PT Astra Serif" w:hAnsi="PT Astra Serif"/>
          <w:sz w:val="28"/>
          <w:szCs w:val="28"/>
        </w:rPr>
        <w:t>.</w:t>
      </w:r>
    </w:p>
    <w:p w:rsidR="00EE6F07" w:rsidRPr="00916C67" w:rsidRDefault="00EE6F07" w:rsidP="00D62D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В случае поступления в контрольный орган 5 и более однотипных обращений контролируемых лиц и их представителей консультирование осуществляется посредством размещения на официальном сайте контрольного органа в информационно-телекоммуникационной сети </w:t>
      </w:r>
      <w:r w:rsidR="004A6D5A">
        <w:rPr>
          <w:rFonts w:ascii="PT Astra Serif" w:hAnsi="PT Astra Serif"/>
          <w:sz w:val="28"/>
          <w:szCs w:val="28"/>
        </w:rPr>
        <w:t>«</w:t>
      </w:r>
      <w:r w:rsidRPr="00916C67">
        <w:rPr>
          <w:rFonts w:ascii="PT Astra Serif" w:hAnsi="PT Astra Serif"/>
          <w:sz w:val="28"/>
          <w:szCs w:val="28"/>
        </w:rPr>
        <w:t>Интернет</w:t>
      </w:r>
      <w:r w:rsidR="004A6D5A">
        <w:rPr>
          <w:rFonts w:ascii="PT Astra Serif" w:hAnsi="PT Astra Serif"/>
          <w:sz w:val="28"/>
          <w:szCs w:val="28"/>
        </w:rPr>
        <w:t>»</w:t>
      </w:r>
      <w:r w:rsidRPr="00916C67">
        <w:rPr>
          <w:rFonts w:ascii="PT Astra Serif" w:hAnsi="PT Astra Serif"/>
          <w:sz w:val="28"/>
          <w:szCs w:val="28"/>
        </w:rPr>
        <w:t xml:space="preserve"> письменного разъяснения, подписанного должностным лицом контрольного органа</w:t>
      </w:r>
      <w:r w:rsidR="00D62D8B" w:rsidRPr="00916C67">
        <w:rPr>
          <w:rFonts w:ascii="PT Astra Serif" w:hAnsi="PT Astra Serif"/>
          <w:sz w:val="28"/>
          <w:szCs w:val="28"/>
        </w:rPr>
        <w:t>, уполномоченными на принятие решений о проведении контрольных мероприятий,</w:t>
      </w:r>
    </w:p>
    <w:p w:rsidR="00E96721" w:rsidRDefault="00C95C1C" w:rsidP="00DB694F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lastRenderedPageBreak/>
        <w:t>Сроки</w:t>
      </w:r>
      <w:r w:rsidR="00CB1579">
        <w:rPr>
          <w:rFonts w:ascii="PT Astra Serif" w:hAnsi="PT Astra Serif"/>
          <w:sz w:val="28"/>
          <w:szCs w:val="28"/>
        </w:rPr>
        <w:t xml:space="preserve"> (периодичность) проведения консультирования:</w:t>
      </w:r>
      <w:r w:rsidRPr="00916C67">
        <w:rPr>
          <w:rFonts w:ascii="PT Astra Serif" w:hAnsi="PT Astra Serif"/>
          <w:sz w:val="28"/>
          <w:szCs w:val="28"/>
        </w:rPr>
        <w:t xml:space="preserve"> по мере необходимости, на постоянной основе.</w:t>
      </w:r>
    </w:p>
    <w:p w:rsidR="004719CF" w:rsidRPr="00916C67" w:rsidRDefault="004719CF" w:rsidP="004719CF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Ответственные подразделения: начальник управления по административно-техническому надзору администрации города Тулы, заместитель начальника управления по административно-техническому надзору администрации города Тулы,  сектор контроля по Центральному территориальному округу, сектор контроля по Зареченскому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Привокзальному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Советскому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Пролетарскому территориальному округу управления по административно-техническому надзору администрации города Тулы.</w:t>
      </w:r>
    </w:p>
    <w:p w:rsidR="004719CF" w:rsidRPr="00916C67" w:rsidRDefault="004719CF" w:rsidP="00DB694F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85293D" w:rsidRPr="00916C67" w:rsidRDefault="0085293D" w:rsidP="00DC103A">
      <w:pPr>
        <w:ind w:right="99"/>
        <w:rPr>
          <w:rFonts w:ascii="PT Astra Serif" w:hAnsi="PT Astra Serif"/>
          <w:sz w:val="28"/>
          <w:szCs w:val="28"/>
        </w:rPr>
      </w:pPr>
    </w:p>
    <w:p w:rsidR="00796248" w:rsidRPr="00916C67" w:rsidRDefault="00796248" w:rsidP="00796248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4. Показатели результативности и эффективности Программы</w:t>
      </w:r>
    </w:p>
    <w:p w:rsidR="00796248" w:rsidRPr="00916C67" w:rsidRDefault="00950193" w:rsidP="00796248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профилактики</w:t>
      </w:r>
    </w:p>
    <w:p w:rsidR="00950193" w:rsidRPr="00916C67" w:rsidRDefault="00950193" w:rsidP="00796248">
      <w:pPr>
        <w:jc w:val="center"/>
        <w:rPr>
          <w:rFonts w:ascii="PT Astra Serif" w:hAnsi="PT Astra Serif"/>
          <w:b/>
          <w:sz w:val="28"/>
          <w:szCs w:val="28"/>
        </w:rPr>
      </w:pPr>
    </w:p>
    <w:p w:rsidR="00796248" w:rsidRPr="00916C67" w:rsidRDefault="00796248" w:rsidP="004A6D5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Основными критериями оценки эффективности и результативности Программы профилактики являются следующие показатели:</w:t>
      </w:r>
    </w:p>
    <w:p w:rsidR="00B45F08" w:rsidRPr="00916C67" w:rsidRDefault="00B45F08" w:rsidP="00815C4B">
      <w:pPr>
        <w:spacing w:after="200"/>
        <w:ind w:right="6"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a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802"/>
        <w:gridCol w:w="6884"/>
        <w:gridCol w:w="1661"/>
      </w:tblGrid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7088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68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Целевой показатель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088" w:type="dxa"/>
            <w:vAlign w:val="center"/>
          </w:tcPr>
          <w:p w:rsidR="00796248" w:rsidRPr="00916C67" w:rsidRDefault="00950193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 xml:space="preserve">Информированность контролируемых лиц об обязательных требованиях, соблюдение которых оценивается при проведении Управлением мероприятий 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по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муниципально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му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контрол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ю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в сфере благоустройства,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</w:t>
            </w:r>
          </w:p>
        </w:tc>
        <w:tc>
          <w:tcPr>
            <w:tcW w:w="1668" w:type="dxa"/>
            <w:vAlign w:val="center"/>
          </w:tcPr>
          <w:p w:rsidR="00796248" w:rsidRPr="00916C67" w:rsidRDefault="00950193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088" w:type="dxa"/>
            <w:vAlign w:val="center"/>
          </w:tcPr>
          <w:p w:rsidR="00796248" w:rsidRPr="00916C67" w:rsidRDefault="00DC55D1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Выполнение мероприятий, предусмотренных Программой профилактики, в соответствии со сроками и периодичностью их проведения</w:t>
            </w:r>
          </w:p>
        </w:tc>
        <w:tc>
          <w:tcPr>
            <w:tcW w:w="1668" w:type="dxa"/>
            <w:vAlign w:val="center"/>
          </w:tcPr>
          <w:p w:rsidR="00796248" w:rsidRPr="00916C67" w:rsidRDefault="00DC55D1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088" w:type="dxa"/>
            <w:vAlign w:val="center"/>
          </w:tcPr>
          <w:p w:rsidR="00796248" w:rsidRPr="00916C67" w:rsidRDefault="00971559" w:rsidP="001250C5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</w:t>
            </w:r>
            <w:r w:rsidRPr="00916C67">
              <w:rPr>
                <w:rFonts w:ascii="PT Astra Serif" w:hAnsi="PT Astra Serif"/>
                <w:sz w:val="28"/>
                <w:szCs w:val="28"/>
              </w:rPr>
              <w:t>одготовка и размещение в сети «Интернет» на сайте администра</w:t>
            </w:r>
            <w:bookmarkStart w:id="0" w:name="_GoBack"/>
            <w:bookmarkEnd w:id="0"/>
            <w:r w:rsidRPr="00916C67">
              <w:rPr>
                <w:rFonts w:ascii="PT Astra Serif" w:hAnsi="PT Astra Serif"/>
                <w:sz w:val="28"/>
                <w:szCs w:val="28"/>
              </w:rPr>
              <w:t xml:space="preserve">ции города Тулы в разделе «администрация =&gt; отраслевые (функциональные) органы =&gt; управление по административно-техническому надзору =&gt; контрольно-надзорная деятельность» </w:t>
            </w:r>
            <w:r w:rsidR="007F1826">
              <w:rPr>
                <w:rFonts w:ascii="PT Astra Serif" w:hAnsi="PT Astra Serif"/>
                <w:sz w:val="28"/>
                <w:szCs w:val="28"/>
              </w:rPr>
              <w:t>информации по итогам осуществления контроля за допущенными нарушениями</w:t>
            </w:r>
          </w:p>
        </w:tc>
        <w:tc>
          <w:tcPr>
            <w:tcW w:w="1668" w:type="dxa"/>
            <w:vAlign w:val="center"/>
          </w:tcPr>
          <w:p w:rsidR="00796248" w:rsidRPr="00916C67" w:rsidRDefault="00105858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</w:tbl>
    <w:p w:rsidR="00796248" w:rsidRPr="00916C67" w:rsidRDefault="00796248" w:rsidP="00796248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85293D" w:rsidRPr="00916C67" w:rsidRDefault="0085293D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D62D8B" w:rsidRPr="00916C67" w:rsidRDefault="00D62D8B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D62D8B" w:rsidRPr="00916C67" w:rsidRDefault="00D62D8B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3824B4" w:rsidRPr="00916C67" w:rsidRDefault="001447FF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Начальник</w:t>
      </w:r>
      <w:r w:rsidR="003824B4" w:rsidRPr="00916C67">
        <w:rPr>
          <w:rFonts w:ascii="PT Astra Serif" w:hAnsi="PT Astra Serif"/>
          <w:b/>
          <w:sz w:val="28"/>
          <w:szCs w:val="28"/>
        </w:rPr>
        <w:t xml:space="preserve"> управления </w:t>
      </w:r>
    </w:p>
    <w:p w:rsidR="003824B4" w:rsidRPr="00916C67" w:rsidRDefault="003824B4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по административно-техническому </w:t>
      </w:r>
    </w:p>
    <w:p w:rsidR="003824B4" w:rsidRPr="00822BE8" w:rsidRDefault="003824B4" w:rsidP="00822BE8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надзору администрации города Тулы                            </w:t>
      </w:r>
      <w:r w:rsidR="00822BE8">
        <w:rPr>
          <w:rFonts w:ascii="PT Astra Serif" w:hAnsi="PT Astra Serif"/>
          <w:b/>
          <w:sz w:val="28"/>
          <w:szCs w:val="28"/>
        </w:rPr>
        <w:t>К.Н. Галкина</w:t>
      </w:r>
    </w:p>
    <w:p w:rsidR="003824B4" w:rsidRPr="00916C67" w:rsidRDefault="003824B4" w:rsidP="003824B4">
      <w:pPr>
        <w:pStyle w:val="a6"/>
        <w:ind w:firstLine="709"/>
        <w:jc w:val="both"/>
        <w:rPr>
          <w:rFonts w:ascii="PT Astra Serif" w:hAnsi="PT Astra Serif"/>
          <w:szCs w:val="28"/>
        </w:rPr>
      </w:pPr>
    </w:p>
    <w:p w:rsidR="0085293D" w:rsidRPr="00916C67" w:rsidRDefault="0085293D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53684C" w:rsidRPr="00916C67" w:rsidRDefault="0053684C" w:rsidP="00DC103A">
      <w:pPr>
        <w:pStyle w:val="a6"/>
        <w:jc w:val="both"/>
        <w:rPr>
          <w:rFonts w:ascii="PT Astra Serif" w:hAnsi="PT Astra Serif"/>
          <w:szCs w:val="28"/>
        </w:rPr>
      </w:pPr>
    </w:p>
    <w:p w:rsidR="0053684C" w:rsidRPr="00916C67" w:rsidRDefault="0053684C" w:rsidP="00DC103A">
      <w:pPr>
        <w:pStyle w:val="a6"/>
        <w:jc w:val="both"/>
        <w:rPr>
          <w:rFonts w:ascii="PT Astra Serif" w:hAnsi="PT Astra Serif"/>
          <w:szCs w:val="28"/>
        </w:rPr>
      </w:pPr>
    </w:p>
    <w:sectPr w:rsidR="0053684C" w:rsidRPr="00916C67" w:rsidSect="00815C4B">
      <w:headerReference w:type="default" r:id="rId7"/>
      <w:type w:val="continuous"/>
      <w:pgSz w:w="11909" w:h="16834"/>
      <w:pgMar w:top="1134" w:right="851" w:bottom="1134" w:left="1701" w:header="720" w:footer="720" w:gutter="0"/>
      <w:cols w:space="708"/>
      <w:noEndnote/>
      <w:titlePg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243" w:rsidRDefault="00CC2243" w:rsidP="00815C4B">
      <w:r>
        <w:separator/>
      </w:r>
    </w:p>
  </w:endnote>
  <w:endnote w:type="continuationSeparator" w:id="0">
    <w:p w:rsidR="00CC2243" w:rsidRDefault="00CC2243" w:rsidP="0081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243" w:rsidRDefault="00CC2243" w:rsidP="00815C4B">
      <w:r>
        <w:separator/>
      </w:r>
    </w:p>
  </w:footnote>
  <w:footnote w:type="continuationSeparator" w:id="0">
    <w:p w:rsidR="00CC2243" w:rsidRDefault="00CC2243" w:rsidP="0081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9622243"/>
      <w:docPartObj>
        <w:docPartGallery w:val="Page Numbers (Top of Page)"/>
        <w:docPartUnique/>
      </w:docPartObj>
    </w:sdtPr>
    <w:sdtEndPr/>
    <w:sdtContent>
      <w:p w:rsidR="00815C4B" w:rsidRDefault="00815C4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826">
          <w:rPr>
            <w:noProof/>
          </w:rPr>
          <w:t>8</w:t>
        </w:r>
        <w:r>
          <w:fldChar w:fldCharType="end"/>
        </w:r>
      </w:p>
    </w:sdtContent>
  </w:sdt>
  <w:p w:rsidR="00815C4B" w:rsidRDefault="00815C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505C"/>
    <w:multiLevelType w:val="hybridMultilevel"/>
    <w:tmpl w:val="1FDECF28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4E8A44A">
      <w:start w:val="1"/>
      <w:numFmt w:val="russianLower"/>
      <w:suff w:val="space"/>
      <w:lvlText w:val="%2)"/>
      <w:lvlJc w:val="left"/>
      <w:pPr>
        <w:ind w:left="213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717A"/>
    <w:multiLevelType w:val="hybridMultilevel"/>
    <w:tmpl w:val="490EFEE4"/>
    <w:lvl w:ilvl="0" w:tplc="2F149AC6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" w15:restartNumberingAfterBreak="0">
    <w:nsid w:val="042D71CC"/>
    <w:multiLevelType w:val="multilevel"/>
    <w:tmpl w:val="A56A65F4"/>
    <w:styleLink w:val="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pacing w:val="0"/>
        <w:w w:val="100"/>
        <w:kern w:val="24"/>
        <w:position w:val="0"/>
        <w:sz w:val="24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A25F5"/>
    <w:multiLevelType w:val="hybridMultilevel"/>
    <w:tmpl w:val="584A9FD6"/>
    <w:lvl w:ilvl="0" w:tplc="A02E9680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4" w15:restartNumberingAfterBreak="0">
    <w:nsid w:val="12ED49C7"/>
    <w:multiLevelType w:val="hybridMultilevel"/>
    <w:tmpl w:val="B0541B86"/>
    <w:lvl w:ilvl="0" w:tplc="25660026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EA168F"/>
    <w:multiLevelType w:val="hybridMultilevel"/>
    <w:tmpl w:val="CE5A009C"/>
    <w:lvl w:ilvl="0" w:tplc="C46E601C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9EFA77BA">
      <w:start w:val="1"/>
      <w:numFmt w:val="decimal"/>
      <w:lvlText w:val="%2)"/>
      <w:lvlJc w:val="left"/>
      <w:pPr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7E31"/>
    <w:multiLevelType w:val="hybridMultilevel"/>
    <w:tmpl w:val="C0841218"/>
    <w:lvl w:ilvl="0" w:tplc="0419000F">
      <w:start w:val="1"/>
      <w:numFmt w:val="decimal"/>
      <w:lvlText w:val="%1."/>
      <w:lvlJc w:val="left"/>
      <w:pPr>
        <w:ind w:left="1592" w:hanging="360"/>
      </w:p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7" w15:restartNumberingAfterBreak="0">
    <w:nsid w:val="261A5CD8"/>
    <w:multiLevelType w:val="hybridMultilevel"/>
    <w:tmpl w:val="9A08CB1A"/>
    <w:lvl w:ilvl="0" w:tplc="44C6AEC8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94C163A"/>
    <w:multiLevelType w:val="hybridMultilevel"/>
    <w:tmpl w:val="7032CA86"/>
    <w:lvl w:ilvl="0" w:tplc="136C77C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13238"/>
    <w:multiLevelType w:val="hybridMultilevel"/>
    <w:tmpl w:val="2CCE3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15527"/>
    <w:multiLevelType w:val="hybridMultilevel"/>
    <w:tmpl w:val="18B89FCE"/>
    <w:lvl w:ilvl="0" w:tplc="2566002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3A65DB"/>
    <w:multiLevelType w:val="hybridMultilevel"/>
    <w:tmpl w:val="C1E4F876"/>
    <w:lvl w:ilvl="0" w:tplc="E37EDD0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3D3306E"/>
    <w:multiLevelType w:val="hybridMultilevel"/>
    <w:tmpl w:val="8BACCFF8"/>
    <w:lvl w:ilvl="0" w:tplc="4844B8CA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" w15:restartNumberingAfterBreak="0">
    <w:nsid w:val="43FC5F89"/>
    <w:multiLevelType w:val="hybridMultilevel"/>
    <w:tmpl w:val="A69C5A34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81D86"/>
    <w:multiLevelType w:val="hybridMultilevel"/>
    <w:tmpl w:val="D97E68AA"/>
    <w:lvl w:ilvl="0" w:tplc="6E72A6F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271D9"/>
    <w:multiLevelType w:val="hybridMultilevel"/>
    <w:tmpl w:val="9656DE64"/>
    <w:lvl w:ilvl="0" w:tplc="0874CCE2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6" w15:restartNumberingAfterBreak="0">
    <w:nsid w:val="725906BD"/>
    <w:multiLevelType w:val="hybridMultilevel"/>
    <w:tmpl w:val="7B669C9E"/>
    <w:lvl w:ilvl="0" w:tplc="33CEC3E8">
      <w:start w:val="1"/>
      <w:numFmt w:val="russianLower"/>
      <w:suff w:val="space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1" w:hanging="360"/>
      </w:pPr>
    </w:lvl>
    <w:lvl w:ilvl="2" w:tplc="0419001B" w:tentative="1">
      <w:start w:val="1"/>
      <w:numFmt w:val="lowerRoman"/>
      <w:lvlText w:val="%3."/>
      <w:lvlJc w:val="right"/>
      <w:pPr>
        <w:ind w:left="5911" w:hanging="180"/>
      </w:pPr>
    </w:lvl>
    <w:lvl w:ilvl="3" w:tplc="0419000F" w:tentative="1">
      <w:start w:val="1"/>
      <w:numFmt w:val="decimal"/>
      <w:lvlText w:val="%4."/>
      <w:lvlJc w:val="left"/>
      <w:pPr>
        <w:ind w:left="6631" w:hanging="360"/>
      </w:pPr>
    </w:lvl>
    <w:lvl w:ilvl="4" w:tplc="04190019" w:tentative="1">
      <w:start w:val="1"/>
      <w:numFmt w:val="lowerLetter"/>
      <w:lvlText w:val="%5."/>
      <w:lvlJc w:val="left"/>
      <w:pPr>
        <w:ind w:left="7351" w:hanging="360"/>
      </w:pPr>
    </w:lvl>
    <w:lvl w:ilvl="5" w:tplc="0419001B" w:tentative="1">
      <w:start w:val="1"/>
      <w:numFmt w:val="lowerRoman"/>
      <w:lvlText w:val="%6."/>
      <w:lvlJc w:val="right"/>
      <w:pPr>
        <w:ind w:left="8071" w:hanging="180"/>
      </w:pPr>
    </w:lvl>
    <w:lvl w:ilvl="6" w:tplc="0419000F" w:tentative="1">
      <w:start w:val="1"/>
      <w:numFmt w:val="decimal"/>
      <w:lvlText w:val="%7."/>
      <w:lvlJc w:val="left"/>
      <w:pPr>
        <w:ind w:left="8791" w:hanging="360"/>
      </w:pPr>
    </w:lvl>
    <w:lvl w:ilvl="7" w:tplc="04190019" w:tentative="1">
      <w:start w:val="1"/>
      <w:numFmt w:val="lowerLetter"/>
      <w:lvlText w:val="%8."/>
      <w:lvlJc w:val="left"/>
      <w:pPr>
        <w:ind w:left="9511" w:hanging="360"/>
      </w:pPr>
    </w:lvl>
    <w:lvl w:ilvl="8" w:tplc="0419001B" w:tentative="1">
      <w:start w:val="1"/>
      <w:numFmt w:val="lowerRoman"/>
      <w:lvlText w:val="%9."/>
      <w:lvlJc w:val="right"/>
      <w:pPr>
        <w:ind w:left="10231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11"/>
  </w:num>
  <w:num w:numId="7">
    <w:abstractNumId w:val="6"/>
  </w:num>
  <w:num w:numId="8">
    <w:abstractNumId w:val="15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5"/>
  </w:num>
  <w:num w:numId="14">
    <w:abstractNumId w:val="8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9"/>
  <w:drawingGridVerticalSpacing w:val="148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EFD"/>
    <w:rsid w:val="00014D44"/>
    <w:rsid w:val="00023375"/>
    <w:rsid w:val="000400A1"/>
    <w:rsid w:val="00051324"/>
    <w:rsid w:val="00052CB7"/>
    <w:rsid w:val="00070434"/>
    <w:rsid w:val="00086C9F"/>
    <w:rsid w:val="000A1C24"/>
    <w:rsid w:val="000B207D"/>
    <w:rsid w:val="000B244D"/>
    <w:rsid w:val="000B40CB"/>
    <w:rsid w:val="000C0B27"/>
    <w:rsid w:val="000C2CE5"/>
    <w:rsid w:val="000E16B7"/>
    <w:rsid w:val="000E4BEF"/>
    <w:rsid w:val="000F08B0"/>
    <w:rsid w:val="000F0D37"/>
    <w:rsid w:val="000F3EBE"/>
    <w:rsid w:val="00105858"/>
    <w:rsid w:val="00106971"/>
    <w:rsid w:val="001250C5"/>
    <w:rsid w:val="0014337E"/>
    <w:rsid w:val="001447FF"/>
    <w:rsid w:val="00176195"/>
    <w:rsid w:val="0018785D"/>
    <w:rsid w:val="00196549"/>
    <w:rsid w:val="001A0AA0"/>
    <w:rsid w:val="001B498C"/>
    <w:rsid w:val="001E13C8"/>
    <w:rsid w:val="001E2455"/>
    <w:rsid w:val="001F6EFD"/>
    <w:rsid w:val="0025373B"/>
    <w:rsid w:val="00274CA6"/>
    <w:rsid w:val="00282389"/>
    <w:rsid w:val="002A2BF9"/>
    <w:rsid w:val="002D7491"/>
    <w:rsid w:val="002E2950"/>
    <w:rsid w:val="002E498F"/>
    <w:rsid w:val="002F553E"/>
    <w:rsid w:val="00306962"/>
    <w:rsid w:val="00331961"/>
    <w:rsid w:val="00336776"/>
    <w:rsid w:val="0035206B"/>
    <w:rsid w:val="00352902"/>
    <w:rsid w:val="00360A9F"/>
    <w:rsid w:val="003734A1"/>
    <w:rsid w:val="003824B4"/>
    <w:rsid w:val="00395CF2"/>
    <w:rsid w:val="003B36C7"/>
    <w:rsid w:val="003B5B39"/>
    <w:rsid w:val="003C3C25"/>
    <w:rsid w:val="003C7030"/>
    <w:rsid w:val="003E1537"/>
    <w:rsid w:val="003E60E8"/>
    <w:rsid w:val="003F2EEE"/>
    <w:rsid w:val="00400E6E"/>
    <w:rsid w:val="00431A4A"/>
    <w:rsid w:val="0043377B"/>
    <w:rsid w:val="004552B1"/>
    <w:rsid w:val="004631DA"/>
    <w:rsid w:val="004719CF"/>
    <w:rsid w:val="00496165"/>
    <w:rsid w:val="004A5C48"/>
    <w:rsid w:val="004A6D5A"/>
    <w:rsid w:val="004B3FF0"/>
    <w:rsid w:val="004C3572"/>
    <w:rsid w:val="004E0D8B"/>
    <w:rsid w:val="004E6468"/>
    <w:rsid w:val="004F3923"/>
    <w:rsid w:val="005027AB"/>
    <w:rsid w:val="005038A3"/>
    <w:rsid w:val="00514A25"/>
    <w:rsid w:val="0053684C"/>
    <w:rsid w:val="0054112B"/>
    <w:rsid w:val="005511EE"/>
    <w:rsid w:val="00557CA0"/>
    <w:rsid w:val="005748D5"/>
    <w:rsid w:val="005A305F"/>
    <w:rsid w:val="005A5377"/>
    <w:rsid w:val="005B6F71"/>
    <w:rsid w:val="005D2EFD"/>
    <w:rsid w:val="005D4A85"/>
    <w:rsid w:val="005E5396"/>
    <w:rsid w:val="005F03C9"/>
    <w:rsid w:val="005F761B"/>
    <w:rsid w:val="0060391E"/>
    <w:rsid w:val="00610726"/>
    <w:rsid w:val="00621E5E"/>
    <w:rsid w:val="00656343"/>
    <w:rsid w:val="0066004D"/>
    <w:rsid w:val="00662A70"/>
    <w:rsid w:val="00694D03"/>
    <w:rsid w:val="006A10DF"/>
    <w:rsid w:val="006A6AD0"/>
    <w:rsid w:val="006B144E"/>
    <w:rsid w:val="006D1D3D"/>
    <w:rsid w:val="006D3683"/>
    <w:rsid w:val="006D7CDD"/>
    <w:rsid w:val="006E1CF4"/>
    <w:rsid w:val="006E3513"/>
    <w:rsid w:val="006F137D"/>
    <w:rsid w:val="00703B7E"/>
    <w:rsid w:val="0073259E"/>
    <w:rsid w:val="0073310B"/>
    <w:rsid w:val="00750F54"/>
    <w:rsid w:val="007512BC"/>
    <w:rsid w:val="00751525"/>
    <w:rsid w:val="00763AA0"/>
    <w:rsid w:val="00770E58"/>
    <w:rsid w:val="007918EA"/>
    <w:rsid w:val="00796248"/>
    <w:rsid w:val="007A19BD"/>
    <w:rsid w:val="007A6860"/>
    <w:rsid w:val="007D26CC"/>
    <w:rsid w:val="007F1826"/>
    <w:rsid w:val="007F1B44"/>
    <w:rsid w:val="008035B9"/>
    <w:rsid w:val="00811F6E"/>
    <w:rsid w:val="00815A2C"/>
    <w:rsid w:val="00815C4B"/>
    <w:rsid w:val="00822BE8"/>
    <w:rsid w:val="00841BB8"/>
    <w:rsid w:val="00851586"/>
    <w:rsid w:val="0085293D"/>
    <w:rsid w:val="008678AC"/>
    <w:rsid w:val="00884FEA"/>
    <w:rsid w:val="0089105E"/>
    <w:rsid w:val="008A20D6"/>
    <w:rsid w:val="008A236E"/>
    <w:rsid w:val="008B0DDA"/>
    <w:rsid w:val="008B367A"/>
    <w:rsid w:val="008B7B1E"/>
    <w:rsid w:val="008C258D"/>
    <w:rsid w:val="0090054E"/>
    <w:rsid w:val="00905C8D"/>
    <w:rsid w:val="00916C67"/>
    <w:rsid w:val="0091775B"/>
    <w:rsid w:val="009311FA"/>
    <w:rsid w:val="0093168D"/>
    <w:rsid w:val="00937EA0"/>
    <w:rsid w:val="0094581B"/>
    <w:rsid w:val="00950193"/>
    <w:rsid w:val="009506D5"/>
    <w:rsid w:val="0095209A"/>
    <w:rsid w:val="0096259C"/>
    <w:rsid w:val="00965C81"/>
    <w:rsid w:val="00971559"/>
    <w:rsid w:val="00980596"/>
    <w:rsid w:val="009828B4"/>
    <w:rsid w:val="00987AF8"/>
    <w:rsid w:val="0099492F"/>
    <w:rsid w:val="009A10FD"/>
    <w:rsid w:val="009C4E60"/>
    <w:rsid w:val="009E2CEC"/>
    <w:rsid w:val="00A31DE9"/>
    <w:rsid w:val="00A62CF6"/>
    <w:rsid w:val="00A72EF5"/>
    <w:rsid w:val="00A94A86"/>
    <w:rsid w:val="00AB45E8"/>
    <w:rsid w:val="00AC4053"/>
    <w:rsid w:val="00AE31D5"/>
    <w:rsid w:val="00AF1EFB"/>
    <w:rsid w:val="00AF6281"/>
    <w:rsid w:val="00B1786F"/>
    <w:rsid w:val="00B211C2"/>
    <w:rsid w:val="00B2691A"/>
    <w:rsid w:val="00B419BA"/>
    <w:rsid w:val="00B444F8"/>
    <w:rsid w:val="00B45F08"/>
    <w:rsid w:val="00B55560"/>
    <w:rsid w:val="00B55D49"/>
    <w:rsid w:val="00B613B7"/>
    <w:rsid w:val="00B8083E"/>
    <w:rsid w:val="00B80E79"/>
    <w:rsid w:val="00B830EF"/>
    <w:rsid w:val="00BA122E"/>
    <w:rsid w:val="00BA5245"/>
    <w:rsid w:val="00BA5CAC"/>
    <w:rsid w:val="00BC7C30"/>
    <w:rsid w:val="00BD23C4"/>
    <w:rsid w:val="00BD2AEF"/>
    <w:rsid w:val="00C070A6"/>
    <w:rsid w:val="00C22D2C"/>
    <w:rsid w:val="00C32335"/>
    <w:rsid w:val="00C51077"/>
    <w:rsid w:val="00C83391"/>
    <w:rsid w:val="00C94D9E"/>
    <w:rsid w:val="00C95C1C"/>
    <w:rsid w:val="00CA3C54"/>
    <w:rsid w:val="00CB1579"/>
    <w:rsid w:val="00CB5737"/>
    <w:rsid w:val="00CB6D74"/>
    <w:rsid w:val="00CC2243"/>
    <w:rsid w:val="00CE0AC3"/>
    <w:rsid w:val="00CF5388"/>
    <w:rsid w:val="00D0446D"/>
    <w:rsid w:val="00D05AEE"/>
    <w:rsid w:val="00D0671B"/>
    <w:rsid w:val="00D35F9D"/>
    <w:rsid w:val="00D47F50"/>
    <w:rsid w:val="00D5062C"/>
    <w:rsid w:val="00D62D8B"/>
    <w:rsid w:val="00D83B9B"/>
    <w:rsid w:val="00D85EFD"/>
    <w:rsid w:val="00D97E46"/>
    <w:rsid w:val="00DA5FBF"/>
    <w:rsid w:val="00DB5FC3"/>
    <w:rsid w:val="00DB694F"/>
    <w:rsid w:val="00DC103A"/>
    <w:rsid w:val="00DC55D1"/>
    <w:rsid w:val="00DD0774"/>
    <w:rsid w:val="00DD72CD"/>
    <w:rsid w:val="00DF65C8"/>
    <w:rsid w:val="00DF7472"/>
    <w:rsid w:val="00E00657"/>
    <w:rsid w:val="00E03001"/>
    <w:rsid w:val="00E27D70"/>
    <w:rsid w:val="00E27F7F"/>
    <w:rsid w:val="00E43D95"/>
    <w:rsid w:val="00E54003"/>
    <w:rsid w:val="00E54DB5"/>
    <w:rsid w:val="00E678FD"/>
    <w:rsid w:val="00E7130D"/>
    <w:rsid w:val="00E9327E"/>
    <w:rsid w:val="00E96721"/>
    <w:rsid w:val="00EA1CA6"/>
    <w:rsid w:val="00EA4BF2"/>
    <w:rsid w:val="00EA5342"/>
    <w:rsid w:val="00EE2D86"/>
    <w:rsid w:val="00EE3869"/>
    <w:rsid w:val="00EE6F07"/>
    <w:rsid w:val="00EF51C3"/>
    <w:rsid w:val="00EF6140"/>
    <w:rsid w:val="00F11DFB"/>
    <w:rsid w:val="00F13F5B"/>
    <w:rsid w:val="00F217B3"/>
    <w:rsid w:val="00F27266"/>
    <w:rsid w:val="00F465B6"/>
    <w:rsid w:val="00F5475C"/>
    <w:rsid w:val="00F74CF0"/>
    <w:rsid w:val="00F8484B"/>
    <w:rsid w:val="00FA39FE"/>
    <w:rsid w:val="00FA4C73"/>
    <w:rsid w:val="00FB122D"/>
    <w:rsid w:val="00FC6252"/>
    <w:rsid w:val="00FC75F9"/>
    <w:rsid w:val="00FD13D0"/>
    <w:rsid w:val="00FD527A"/>
    <w:rsid w:val="00FE7410"/>
    <w:rsid w:val="00FE7D2A"/>
    <w:rsid w:val="00FF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7BDC01-C76C-4E70-99CF-C818B4F3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7410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rsid w:val="00070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cs="Times New Roman"/>
      <w:sz w:val="2"/>
    </w:rPr>
  </w:style>
  <w:style w:type="numbering" w:customStyle="1" w:styleId="a">
    <w:name w:val="Стиль маркированный"/>
    <w:rsid w:val="00FF1DF4"/>
    <w:pPr>
      <w:numPr>
        <w:numId w:val="1"/>
      </w:numPr>
    </w:pPr>
  </w:style>
  <w:style w:type="paragraph" w:styleId="a6">
    <w:name w:val="Body Text"/>
    <w:basedOn w:val="a0"/>
    <w:link w:val="a7"/>
    <w:uiPriority w:val="99"/>
    <w:rsid w:val="00CA3C54"/>
    <w:pPr>
      <w:ind w:right="4"/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rsid w:val="00CA3C54"/>
    <w:rPr>
      <w:sz w:val="28"/>
      <w:szCs w:val="24"/>
    </w:rPr>
  </w:style>
  <w:style w:type="character" w:customStyle="1" w:styleId="2">
    <w:name w:val="Основной текст (2)_"/>
    <w:basedOn w:val="a1"/>
    <w:link w:val="20"/>
    <w:rsid w:val="005F761B"/>
    <w:rPr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5F761B"/>
    <w:pPr>
      <w:widowControl w:val="0"/>
      <w:shd w:val="clear" w:color="auto" w:fill="FFFFFF"/>
      <w:spacing w:after="360" w:line="0" w:lineRule="atLeast"/>
      <w:jc w:val="right"/>
    </w:pPr>
    <w:rPr>
      <w:b/>
      <w:bCs/>
      <w:spacing w:val="5"/>
      <w:sz w:val="20"/>
      <w:szCs w:val="20"/>
    </w:rPr>
  </w:style>
  <w:style w:type="paragraph" w:styleId="a8">
    <w:name w:val="List Paragraph"/>
    <w:basedOn w:val="a0"/>
    <w:uiPriority w:val="34"/>
    <w:qFormat/>
    <w:rsid w:val="005F761B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DC103A"/>
    <w:rPr>
      <w:color w:val="0000FF" w:themeColor="hyperlink"/>
      <w:u w:val="single"/>
    </w:rPr>
  </w:style>
  <w:style w:type="table" w:styleId="aa">
    <w:name w:val="Table Grid"/>
    <w:basedOn w:val="a2"/>
    <w:locked/>
    <w:rsid w:val="00796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815C4B"/>
    <w:rPr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15C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2349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vt:lpstr>
    </vt:vector>
  </TitlesOfParts>
  <Company>Inc.</Company>
  <LinksUpToDate>false</LinksUpToDate>
  <CharactersWithSpaces>15713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dc:title>
  <dc:creator>Kucenko</dc:creator>
  <cp:lastModifiedBy>Галкина Кристина Николаевна</cp:lastModifiedBy>
  <cp:revision>14</cp:revision>
  <cp:lastPrinted>2023-09-11T12:31:00Z</cp:lastPrinted>
  <dcterms:created xsi:type="dcterms:W3CDTF">2024-10-15T09:56:00Z</dcterms:created>
  <dcterms:modified xsi:type="dcterms:W3CDTF">2024-10-15T11:34:00Z</dcterms:modified>
</cp:coreProperties>
</file>