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B5" w:rsidRPr="00A54DBB" w:rsidRDefault="003972B5" w:rsidP="00A54DBB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A54DBB" w:rsidRDefault="00A54DBB" w:rsidP="00A54DBB">
      <w:pPr>
        <w:pStyle w:val="2"/>
        <w:shd w:val="clear" w:color="auto" w:fill="auto"/>
        <w:spacing w:before="120" w:after="120" w:line="240" w:lineRule="auto"/>
        <w:ind w:right="140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Должностная инструкция </w:t>
      </w:r>
    </w:p>
    <w:p w:rsidR="003972B5" w:rsidRPr="00A54DBB" w:rsidRDefault="00A54DBB" w:rsidP="00A54DBB">
      <w:pPr>
        <w:pStyle w:val="2"/>
        <w:shd w:val="clear" w:color="auto" w:fill="auto"/>
        <w:spacing w:before="120" w:after="12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по должности муниципальной службы консультанта отдела обеспечения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деятельности главных управлений по территориальным округам правового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управления администрации города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Тулы</w:t>
      </w:r>
    </w:p>
    <w:p w:rsidR="003972B5" w:rsidRPr="00A54DBB" w:rsidRDefault="00A54DBB" w:rsidP="00A54DBB">
      <w:pPr>
        <w:pStyle w:val="2"/>
        <w:numPr>
          <w:ilvl w:val="0"/>
          <w:numId w:val="1"/>
        </w:numPr>
        <w:shd w:val="clear" w:color="auto" w:fill="auto"/>
        <w:tabs>
          <w:tab w:val="left" w:pos="4248"/>
        </w:tabs>
        <w:spacing w:before="120" w:after="120" w:line="240" w:lineRule="auto"/>
        <w:ind w:left="38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Общие положения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20" w:firstLine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Настоящая должностная и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нструкция определяет квалификационные требования, обязанности, права и ответственность консультанта отдела обеспечения деятельности главных управлений по территориальным округам правового управления (далее - консультант).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20" w:firstLine="9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Должность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консультанта является ведущей должностью муниципальной службы.</w:t>
      </w:r>
    </w:p>
    <w:p w:rsidR="003972B5" w:rsidRPr="00A54DBB" w:rsidRDefault="00A54DBB" w:rsidP="00A54DBB">
      <w:pPr>
        <w:pStyle w:val="2"/>
        <w:shd w:val="clear" w:color="auto" w:fill="auto"/>
        <w:spacing w:before="120" w:after="120" w:line="240" w:lineRule="auto"/>
        <w:ind w:left="20" w:right="20" w:firstLine="9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Служащий, замещающий должность консультанта является муниципальным служащим муниципального образования город Тула.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20" w:firstLine="9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Консультант назначается и освобождается от должности главой администрации го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рода Тулы или должностным лицом, уполномоченным исполнять обязанности представителя нанимателя (работодателя) по представлению начальника правового управления администрации города Тулы.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20" w:firstLine="9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Консультант в своей работе руководствуется Конституцией Российской Фе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дерации, федеральными законами, нормативными правовыми актами Российской Федерации, Тульской области, муниципальными правовыми актами муниципального образования город Тула, Уставом муниципального образования город Тула, положением о правовом управлении адм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инистрации города Тулы и настоящей должностной инструкцией.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Консультант работает под непосредственным руководством начальника отдела обеспечения деятельности главных управлений по территориальным округам правового управления администрации города Тулы.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Ко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нсультант осуществляет свою деятельность на основании Положения о правовом управлении администрации города Тулы и настоящей инструкции.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tabs>
          <w:tab w:val="left" w:pos="1412"/>
        </w:tabs>
        <w:spacing w:before="120" w:after="120" w:line="240" w:lineRule="auto"/>
        <w:ind w:left="20" w:right="20" w:firstLine="9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В случае временного отсутствия консультанта, в том числе по причине болезни, отпуска, командировки, его обязанности испо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лняет его обязанности исполняет сотрудник отдела обеспечения деятельности главных управлений по территориальным округам правового управления администрации города Тулы или сотрудник правового управления администрации города Тулы в соответствии с письменным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поручением начальника правового управления администрации города Тулы.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tabs>
          <w:tab w:val="left" w:pos="1347"/>
        </w:tabs>
        <w:spacing w:before="120" w:after="120" w:line="240" w:lineRule="auto"/>
        <w:ind w:left="20" w:right="2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Изменения и дополнения в настоящую инструкцию вносятся в порядке, предусмотренном Инструкцией по разработке и утверждению должностных инструкций муниципальных служащих и работников, зани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мающих должности, не отнесенные к должностям муниципальной службы, администрации муниципального образования город Тула.</w:t>
      </w:r>
    </w:p>
    <w:p w:rsidR="003972B5" w:rsidRPr="00A54DBB" w:rsidRDefault="00A54DBB" w:rsidP="00A54DBB">
      <w:pPr>
        <w:pStyle w:val="2"/>
        <w:numPr>
          <w:ilvl w:val="0"/>
          <w:numId w:val="1"/>
        </w:numPr>
        <w:shd w:val="clear" w:color="auto" w:fill="auto"/>
        <w:tabs>
          <w:tab w:val="left" w:pos="3120"/>
        </w:tabs>
        <w:spacing w:before="120" w:after="120" w:line="240" w:lineRule="auto"/>
        <w:ind w:left="31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tabs>
          <w:tab w:val="left" w:pos="1775"/>
          <w:tab w:val="right" w:pos="5663"/>
          <w:tab w:val="right" w:pos="7785"/>
          <w:tab w:val="right" w:pos="9436"/>
        </w:tabs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lastRenderedPageBreak/>
        <w:t>Муниципальный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служащий,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замещающий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должность</w:t>
      </w:r>
    </w:p>
    <w:p w:rsidR="003972B5" w:rsidRPr="00A54DBB" w:rsidRDefault="00A54DBB" w:rsidP="00A54DBB">
      <w:pPr>
        <w:pStyle w:val="2"/>
        <w:shd w:val="clear" w:color="auto" w:fill="auto"/>
        <w:spacing w:before="120" w:after="12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консультанта должен знать законодательные акты Российской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Федерации, Тульской области, муниципальные правовые акты муниципального образования город Тула в сфере муниципальной службы.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tabs>
          <w:tab w:val="left" w:pos="1775"/>
          <w:tab w:val="right" w:pos="5663"/>
          <w:tab w:val="right" w:pos="7785"/>
          <w:tab w:val="right" w:pos="9436"/>
        </w:tabs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Муниципальный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служащий,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замещающий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должность</w:t>
      </w:r>
    </w:p>
    <w:p w:rsidR="003972B5" w:rsidRPr="00A54DBB" w:rsidRDefault="00A54DBB" w:rsidP="00A54DBB">
      <w:pPr>
        <w:pStyle w:val="2"/>
        <w:shd w:val="clear" w:color="auto" w:fill="auto"/>
        <w:spacing w:before="120" w:after="12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консультанта должен иметь высшее профессиональное образование по специальностям, преду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смотренным направлением «Юриспруденция».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Мун</w:t>
      </w:r>
      <w:r>
        <w:rPr>
          <w:rStyle w:val="1"/>
          <w:rFonts w:ascii="Times New Roman" w:hAnsi="Times New Roman" w:cs="Times New Roman"/>
          <w:sz w:val="28"/>
          <w:szCs w:val="28"/>
        </w:rPr>
        <w:t>иципальный</w:t>
      </w:r>
      <w:r>
        <w:rPr>
          <w:rStyle w:val="1"/>
          <w:rFonts w:ascii="Times New Roman" w:hAnsi="Times New Roman" w:cs="Times New Roman"/>
          <w:sz w:val="28"/>
          <w:szCs w:val="28"/>
        </w:rPr>
        <w:tab/>
        <w:t>служащий,</w:t>
      </w:r>
      <w:r>
        <w:rPr>
          <w:rStyle w:val="1"/>
          <w:rFonts w:ascii="Times New Roman" w:hAnsi="Times New Roman" w:cs="Times New Roman"/>
          <w:sz w:val="28"/>
          <w:szCs w:val="28"/>
        </w:rPr>
        <w:tab/>
        <w:t xml:space="preserve">замещающий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должность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консультанта,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должен знать: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Конституцию Российской Федерации, Федеральные законы и законы Тульской области, указы Президента Российской Федерации и постановления Правите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законодательство о муниципальной службе Российс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кой Федерации и Тульской области;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Устав муниципального образования город Тула;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законодательные и иные нормативные правовые акты Российской Федерации и Тульской области, муниципальные правовые акты муниципального образования город Тула, регламентирующие статус, структуру, компетенцию, порядок организации и деятельности представительн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ых и исполнительно-распорядительных органов местного самоуправления;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положение о правовом управлении администрации города Тулы;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правила документооборота и работы со служебной информацией, инструкцию по делопроиз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водству;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требования к служебному поведению;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задачи и функции органов местного самоуправления и отраслевых (функциональных) и территориальных органов администрации города Тулы;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основы государственного и муниципального управления;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документы, определяющие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перспективы развития Российской Федерации, Тульской области и муниципального образования;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основы права, экономики, социально-политические аспекты развития общества;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отечественный и зарубежный опыт в области муниципального управления;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основы управления персоналом;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порядок подготовки, согласования и принятия муниципальных правовых актов;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основы информационного, документационного, финансового обеспечения сфер деятельности органов местного самоуправления, отраслевых (функциональных) и т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ерриториальных органов администрации города Тулы;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правовые </w:t>
      </w:r>
      <w:r>
        <w:rPr>
          <w:rStyle w:val="1"/>
          <w:rFonts w:ascii="Times New Roman" w:hAnsi="Times New Roman" w:cs="Times New Roman"/>
          <w:sz w:val="28"/>
          <w:szCs w:val="28"/>
        </w:rPr>
        <w:t>аспекты в области</w:t>
      </w:r>
      <w:r>
        <w:rPr>
          <w:rStyle w:val="1"/>
          <w:rFonts w:ascii="Times New Roman" w:hAnsi="Times New Roman" w:cs="Times New Roman"/>
          <w:sz w:val="28"/>
          <w:szCs w:val="28"/>
        </w:rPr>
        <w:tab/>
        <w:t>информационно-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коммуникационных технологий;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программные документы и приоритеты государственной политики в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lastRenderedPageBreak/>
        <w:t>области информационно-коммуникационных технологий;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правовые аспекты в сфере предоставления государственных услуг населению и организациям посредством применения информационно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softHyphen/>
        <w:t>коммуникационных технологий;</w:t>
      </w:r>
    </w:p>
    <w:p w:rsid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аппаратное и программное обеспечения;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возможности и особенности применения современных информационно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-коммуникационных технологий в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отраслевых (функциональных) органах администрации муниципального образования город Тула, включая использование возможностей межведомственного документооборота;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общие вопросы в области обеспечения информационной безопасности.</w:t>
      </w:r>
    </w:p>
    <w:p w:rsidR="003972B5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tabs>
          <w:tab w:val="left" w:pos="937"/>
        </w:tabs>
        <w:spacing w:before="120" w:after="12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Муниципальный служащий, замещающий должность консультанта, должен иметь навыки: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ве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дения деловых переговоров и составления делового письма;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владения современными средствами, методами и технологией работы с информацией и документами;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организации личного труда и планирования рабочего времени;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владения оргтехникой и средствами коммуникац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ии;</w:t>
      </w:r>
    </w:p>
    <w:p w:rsidR="003972B5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муниципального управления, анализа состояния и динамики развития муниципального образования; прогнозирования, разработки документов, определяющих развитие муниципального образования;</w:t>
      </w:r>
    </w:p>
    <w:p w:rsid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организационно-распорядительной деятельности, планирования, взаимодействия, координации и к</w:t>
      </w:r>
      <w:r>
        <w:rPr>
          <w:rStyle w:val="1"/>
          <w:rFonts w:ascii="Times New Roman" w:hAnsi="Times New Roman" w:cs="Times New Roman"/>
          <w:sz w:val="28"/>
          <w:szCs w:val="28"/>
        </w:rPr>
        <w:t>онтроля за деятельностью отдела;</w:t>
      </w:r>
    </w:p>
    <w:p w:rsidR="00A54DBB" w:rsidRPr="00A54DBB" w:rsidRDefault="00A54DBB" w:rsidP="00A54DBB">
      <w:pPr>
        <w:pStyle w:val="2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системного подхода в решении поставленных задач;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принятия управленческих решений и контроля их выполнения;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работы с документами и служебной информацией;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проведения семинаров, совещаний, публичных выступлений по актуальным проблемам профессиональной деятельности;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4DBB">
        <w:rPr>
          <w:rStyle w:val="1"/>
          <w:rFonts w:ascii="Times New Roman" w:hAnsi="Times New Roman" w:cs="Times New Roman"/>
          <w:sz w:val="28"/>
          <w:szCs w:val="28"/>
        </w:rPr>
        <w:t>организации и ведения личного приема граждан;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работы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с внутренними и периферийными устройствами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компьютера;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tabs>
          <w:tab w:val="left" w:pos="1841"/>
          <w:tab w:val="right" w:pos="9314"/>
        </w:tabs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работы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с информационно-телекоммуникационными сетями, в</w:t>
      </w:r>
    </w:p>
    <w:p w:rsidR="00A54DBB" w:rsidRPr="00A54DBB" w:rsidRDefault="00A54DBB" w:rsidP="00A54DBB">
      <w:pPr>
        <w:pStyle w:val="2"/>
        <w:shd w:val="clear" w:color="auto" w:fill="auto"/>
        <w:spacing w:before="120" w:after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том числе сетью Интернет;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tabs>
          <w:tab w:val="left" w:pos="1841"/>
          <w:tab w:val="right" w:pos="5850"/>
        </w:tabs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работы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в операционной системе;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tabs>
          <w:tab w:val="left" w:pos="1841"/>
        </w:tabs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управления электронной почтой;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tabs>
          <w:tab w:val="left" w:pos="1841"/>
          <w:tab w:val="right" w:pos="5596"/>
        </w:tabs>
        <w:spacing w:before="120" w:after="120" w:line="240" w:lineRule="auto"/>
        <w:ind w:lef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работы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в текстовом редакторе.</w:t>
      </w:r>
    </w:p>
    <w:p w:rsidR="00A54DBB" w:rsidRPr="00A54DBB" w:rsidRDefault="00A54DBB" w:rsidP="00A54DBB">
      <w:pPr>
        <w:pStyle w:val="2"/>
        <w:numPr>
          <w:ilvl w:val="0"/>
          <w:numId w:val="1"/>
        </w:numPr>
        <w:shd w:val="clear" w:color="auto" w:fill="auto"/>
        <w:tabs>
          <w:tab w:val="left" w:pos="4602"/>
        </w:tabs>
        <w:spacing w:before="120" w:after="120" w:line="240" w:lineRule="auto"/>
        <w:ind w:left="42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Обязанности</w:t>
      </w:r>
    </w:p>
    <w:p w:rsidR="00A54DBB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tabs>
          <w:tab w:val="left" w:pos="1156"/>
        </w:tabs>
        <w:spacing w:before="120" w:after="120" w:line="240" w:lineRule="auto"/>
        <w:ind w:left="20" w:righ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lastRenderedPageBreak/>
        <w:t>Основной задачей консультанта является правовое обеспечение деятельности и защита интересов администрации города Тулы, главного управления администрации города Тулы по Советскому территориальному округу (далее - главное управление).</w:t>
      </w:r>
    </w:p>
    <w:p w:rsidR="00A54DBB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tabs>
          <w:tab w:val="left" w:pos="1269"/>
        </w:tabs>
        <w:spacing w:before="120" w:after="12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Обязанностями консультанта являются: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tabs>
          <w:tab w:val="left" w:pos="1029"/>
        </w:tabs>
        <w:spacing w:before="120" w:after="120" w:line="240" w:lineRule="auto"/>
        <w:ind w:left="20" w:righ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правовое сопровождение деятельности администрации города Тулы, главного управления;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spacing w:before="120" w:after="120" w:line="240" w:lineRule="auto"/>
        <w:ind w:left="20" w:righ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оказание правовой помощи сотрудникам администрации и отраслевым (функциональным) и территориальным органам администрации города Тулы;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tabs>
          <w:tab w:val="left" w:pos="1029"/>
        </w:tabs>
        <w:spacing w:before="120" w:after="12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участие в разработке документов правового характера;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tabs>
          <w:tab w:val="left" w:pos="1029"/>
        </w:tabs>
        <w:spacing w:before="120" w:after="120" w:line="240" w:lineRule="auto"/>
        <w:ind w:left="20" w:righ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представление интересов администрации города Тулы в суде, антимонопольном и других органах;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tabs>
          <w:tab w:val="left" w:pos="1029"/>
        </w:tabs>
        <w:spacing w:before="120" w:after="12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участие в работе по обеспечению соответствия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муниципальных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правовых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актов администрации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образования город Тула действующему законодательству;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tabs>
          <w:tab w:val="left" w:pos="1029"/>
        </w:tabs>
        <w:spacing w:before="120" w:after="120" w:line="240" w:lineRule="auto"/>
        <w:ind w:left="20" w:righ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участие в разработке муниципальных правовых актов органов местного самоуправления муниципального образования город Тула и методических актов по вопросам деятельности органов местного самоуправления;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tabs>
          <w:tab w:val="left" w:pos="1029"/>
        </w:tabs>
        <w:spacing w:before="120" w:after="120" w:line="240" w:lineRule="auto"/>
        <w:ind w:left="20" w:righ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работа с письмами и обращениями граждан, поступившими в правовое управление;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tabs>
          <w:tab w:val="left" w:pos="1029"/>
        </w:tabs>
        <w:spacing w:before="120" w:after="120" w:line="240" w:lineRule="auto"/>
        <w:ind w:left="20" w:right="1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проведение мониторинга муниципальных правовых актов на предмет их соответствия действующему законодательству;</w:t>
      </w:r>
    </w:p>
    <w:p w:rsidR="00A54DBB" w:rsidRPr="00A54DBB" w:rsidRDefault="00A54DBB" w:rsidP="00A54DBB">
      <w:pPr>
        <w:pStyle w:val="2"/>
        <w:shd w:val="clear" w:color="auto" w:fill="auto"/>
        <w:tabs>
          <w:tab w:val="left" w:pos="1029"/>
        </w:tabs>
        <w:spacing w:before="120" w:after="120" w:line="240" w:lineRule="auto"/>
        <w:ind w:right="120" w:firstLine="851"/>
        <w:jc w:val="both"/>
        <w:rPr>
          <w:rFonts w:ascii="Times New Roman" w:hAnsi="Times New Roman" w:cs="Times New Roman"/>
          <w:sz w:val="28"/>
          <w:szCs w:val="28"/>
        </w:rPr>
        <w:sectPr w:rsidR="00A54DBB" w:rsidRPr="00A54DBB" w:rsidSect="00A54DBB">
          <w:footerReference w:type="default" r:id="rId8"/>
          <w:type w:val="continuous"/>
          <w:pgSz w:w="11909" w:h="16838"/>
          <w:pgMar w:top="709" w:right="994" w:bottom="1326" w:left="1157" w:header="0" w:footer="3" w:gutter="0"/>
          <w:cols w:space="720"/>
          <w:noEndnote/>
          <w:docGrid w:linePitch="360"/>
        </w:sect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по поручению начальника главного управления администрации города Тулы по Советскому территориальному округу: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 обеспечивает правовыми средствами защиту прав и законных интересов главного управления в арбитражных судах, судах общей юрисдикции, антимонопольном и других органах;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участвует в совещаниях, проводимых начальником главного управления администрации города Тулы по Советскому территориальному округу;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оказывает правовую поддержку сотрудникам главного управления:</w:t>
      </w:r>
    </w:p>
    <w:p w:rsidR="00A54DBB" w:rsidRDefault="00A54DBB" w:rsidP="00A54DBB">
      <w:pPr>
        <w:pStyle w:val="2"/>
        <w:shd w:val="clear" w:color="auto" w:fill="auto"/>
        <w:spacing w:before="120" w:after="120"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в рассмотрении жалоб, писем, обращений, поступающих в главное управление;</w:t>
      </w:r>
    </w:p>
    <w:p w:rsidR="00A54DBB" w:rsidRPr="00A54DBB" w:rsidRDefault="00A54DBB" w:rsidP="00A54DBB">
      <w:pPr>
        <w:pStyle w:val="2"/>
        <w:numPr>
          <w:ilvl w:val="0"/>
          <w:numId w:val="4"/>
        </w:numPr>
        <w:shd w:val="clear" w:color="auto" w:fill="auto"/>
        <w:spacing w:before="120" w:after="120" w:line="24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п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ри подготовке муниципальных правовых актов администрации города Тулы, приказов главного управления, соглашений, стороной в которых выступает главное управление;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spacing w:before="120" w:after="120"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обеспечение исполнительного производства по судебным решениям, стороной которых является главное управление;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spacing w:before="120" w:after="120"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подготовка по распоряжению начальника правового управления администрации города Тулы, начальника отдела обеспечения деятельности главных управлений по территориальным округам правового управления администрации города Тулы необходимых материалов, находящихся в распоряжении главного управления, для передачи в судебные и иные органы;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spacing w:before="120" w:after="120"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осуществление подготовки проектов писем, ответов от имени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lastRenderedPageBreak/>
        <w:t>администрации города Тулы, правового управления администрации города Тулы;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spacing w:before="120" w:after="120"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соблюдение установленных в администрации города Тулы правил внутреннего трудового распорядка, порядка работы со служебной информацией и норм служебной этики;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spacing w:before="120" w:after="120"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участие в учебных мероприятиях и самообразовании с целью поддержания необходимого для выполнения служебных обязанностей уровня теоретической подготовки.</w:t>
      </w:r>
    </w:p>
    <w:p w:rsidR="00A54DBB" w:rsidRPr="00A54DBB" w:rsidRDefault="00A54DBB" w:rsidP="00A54DBB">
      <w:pPr>
        <w:pStyle w:val="2"/>
        <w:numPr>
          <w:ilvl w:val="0"/>
          <w:numId w:val="3"/>
        </w:numPr>
        <w:shd w:val="clear" w:color="auto" w:fill="auto"/>
        <w:spacing w:before="120" w:after="120"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выполнение поручений начальника правового управления администрации города Тулы, отданных в пределах его полномочий.</w:t>
      </w:r>
    </w:p>
    <w:p w:rsidR="00A54DBB" w:rsidRPr="00A54DBB" w:rsidRDefault="00A54DBB" w:rsidP="00A54DBB">
      <w:pPr>
        <w:pStyle w:val="2"/>
        <w:numPr>
          <w:ilvl w:val="0"/>
          <w:numId w:val="1"/>
        </w:numPr>
        <w:shd w:val="clear" w:color="auto" w:fill="auto"/>
        <w:tabs>
          <w:tab w:val="left" w:pos="4942"/>
        </w:tabs>
        <w:spacing w:before="120" w:after="120" w:line="240" w:lineRule="auto"/>
        <w:ind w:left="46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Права</w:t>
      </w:r>
    </w:p>
    <w:p w:rsidR="00A54DBB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tabs>
          <w:tab w:val="left" w:pos="1414"/>
        </w:tabs>
        <w:spacing w:before="120" w:after="120" w:line="240" w:lineRule="auto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Консультант имеет право: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представлять администрацию города Тулы, главное управление в пределах делегируемых полномочий в органах исполнительной и законодательной власти регионального уровня и органах местного самоуправления, в организациях различных форм собственности;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возвращать исполнителям предоставленные документы и требовать их доработки в соответствии с установленными правилами и нормами по оформлению документов;</w:t>
      </w:r>
    </w:p>
    <w:p w:rsid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60" w:firstLine="86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взаимодействовать с другими отраслевыми (функциональными) и территориальными органами администрации города Тулы для исполнения должностных обязанностей;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запрашивать и своевременно получать от сотрудников главного управления в установленном порядке информацию и материалы, необходимые для исполнения должностных обязанностей;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консультант имеет права, установленные статьей 11 Федерального закона от 02.03.2007 № 25-ФЗ «О муниципальной службе в Российской Федерации»;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консультант имеет иные права, предусмотренные федеральным законодательством, законодательством Тульской области и иными нормативно-правовыми актами Российской Федерации, Тульской области и муниципальными правовыми актами муниципального образования город Тула.</w:t>
      </w:r>
    </w:p>
    <w:p w:rsidR="00A54DBB" w:rsidRPr="00A54DBB" w:rsidRDefault="00A54DBB" w:rsidP="00A54DBB">
      <w:pPr>
        <w:pStyle w:val="2"/>
        <w:numPr>
          <w:ilvl w:val="0"/>
          <w:numId w:val="1"/>
        </w:numPr>
        <w:shd w:val="clear" w:color="auto" w:fill="auto"/>
        <w:tabs>
          <w:tab w:val="left" w:pos="4356"/>
        </w:tabs>
        <w:spacing w:before="120" w:after="120" w:line="240" w:lineRule="auto"/>
        <w:ind w:left="400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Ответственность</w:t>
      </w:r>
    </w:p>
    <w:p w:rsidR="00A54DBB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Консультант несет ответственность за результаты своей работы в соответствии с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компет</w:t>
      </w:r>
      <w:r>
        <w:rPr>
          <w:rStyle w:val="1"/>
          <w:rFonts w:ascii="Times New Roman" w:hAnsi="Times New Roman" w:cs="Times New Roman"/>
          <w:sz w:val="28"/>
          <w:szCs w:val="28"/>
        </w:rPr>
        <w:t>енцией, определенной</w:t>
      </w:r>
      <w:r>
        <w:rPr>
          <w:rStyle w:val="1"/>
          <w:rFonts w:ascii="Times New Roman" w:hAnsi="Times New Roman" w:cs="Times New Roman"/>
          <w:sz w:val="28"/>
          <w:szCs w:val="28"/>
        </w:rPr>
        <w:tab/>
        <w:t xml:space="preserve">Положением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о правовом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управлении администрации города Тулы, а также настоящей должностной инструкцией.</w:t>
      </w:r>
    </w:p>
    <w:p w:rsidR="00A54DBB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За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ab/>
        <w:t xml:space="preserve">соблюдение ограничений,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предусмотренных ст.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Федерального закона № 25-ФЗ «О муниципальной службе в Российской Федерации».</w:t>
      </w:r>
    </w:p>
    <w:p w:rsidR="00A54DBB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За надлежащее выполнение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основных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муниципального служащего, предусмотренных ст. 12 Федерального закона №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lastRenderedPageBreak/>
        <w:t>25-ФЗ «О муниципальной службе в Российской Федерации».</w:t>
      </w:r>
    </w:p>
    <w:p w:rsidR="00A54DBB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За соблюдение запретов, связанных с муниципальной службой, предусмотренных ст. 14 Федерального закона № 25-ФЗ «О муниципальной службе в Российской Федерации».</w:t>
      </w:r>
    </w:p>
    <w:p w:rsidR="00A54DBB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За достоверность и своевременность представления информаций, справок по направлениям своей деятельности.</w:t>
      </w:r>
    </w:p>
    <w:p w:rsidR="00A54DBB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>За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ab/>
        <w:t>сохран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ность конфиденциальной и другой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охраняемой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BB">
        <w:rPr>
          <w:rStyle w:val="1"/>
          <w:rFonts w:ascii="Times New Roman" w:hAnsi="Times New Roman" w:cs="Times New Roman"/>
          <w:sz w:val="28"/>
          <w:szCs w:val="28"/>
        </w:rPr>
        <w:t>информации, полученной при исполнении должностных обязанностей по муниципальной службе.</w:t>
      </w:r>
    </w:p>
    <w:p w:rsidR="00A54DBB" w:rsidRPr="00A54DBB" w:rsidRDefault="00A54DBB" w:rsidP="00A54DBB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Консультант несет ответственность за выполнение возложенных на него обязанностей в соответствии с действующим законодательством и настоящей должностной инструкцией.</w:t>
      </w:r>
    </w:p>
    <w:p w:rsid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60" w:firstLine="86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A54DBB">
        <w:rPr>
          <w:rStyle w:val="1"/>
          <w:rFonts w:ascii="Times New Roman" w:hAnsi="Times New Roman" w:cs="Times New Roman"/>
          <w:sz w:val="28"/>
          <w:szCs w:val="28"/>
        </w:rPr>
        <w:t xml:space="preserve"> Консультант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rStyle w:val="1"/>
          <w:rFonts w:ascii="Times New Roman" w:hAnsi="Times New Roman" w:cs="Times New Roman"/>
          <w:sz w:val="28"/>
          <w:szCs w:val="28"/>
        </w:rPr>
        <w:t>ию коррупционных правонарушений.</w:t>
      </w:r>
    </w:p>
    <w:p w:rsidR="00A54DBB" w:rsidRPr="00A54DBB" w:rsidRDefault="00A54DBB" w:rsidP="00A54DBB">
      <w:pPr>
        <w:pStyle w:val="2"/>
        <w:numPr>
          <w:ilvl w:val="0"/>
          <w:numId w:val="2"/>
        </w:numPr>
        <w:shd w:val="clear" w:color="auto" w:fill="auto"/>
        <w:spacing w:before="120" w:after="120" w:line="240" w:lineRule="auto"/>
        <w:ind w:left="20" w:right="60" w:firstLine="860"/>
        <w:jc w:val="both"/>
        <w:rPr>
          <w:rFonts w:ascii="Times New Roman" w:hAnsi="Times New Roman" w:cs="Times New Roman"/>
          <w:sz w:val="28"/>
          <w:szCs w:val="28"/>
        </w:rPr>
        <w:sectPr w:rsidR="00A54DBB" w:rsidRPr="00A54DBB">
          <w:footerReference w:type="default" r:id="rId9"/>
          <w:type w:val="continuous"/>
          <w:pgSz w:w="11909" w:h="16838"/>
          <w:pgMar w:top="1000" w:right="1359" w:bottom="1326" w:left="1157" w:header="0" w:footer="3" w:gutter="0"/>
          <w:cols w:space="720"/>
          <w:noEndnote/>
          <w:docGrid w:linePitch="360"/>
        </w:sectPr>
      </w:pPr>
      <w:r w:rsidRPr="00A54DBB">
        <w:rPr>
          <w:rFonts w:ascii="Times New Roman" w:hAnsi="Times New Roman" w:cs="Times New Roman"/>
          <w:sz w:val="28"/>
          <w:szCs w:val="28"/>
        </w:rPr>
        <w:br w:type="page"/>
      </w:r>
    </w:p>
    <w:p w:rsidR="003972B5" w:rsidRPr="00A54DBB" w:rsidRDefault="003972B5" w:rsidP="00A54DBB">
      <w:pPr>
        <w:pStyle w:val="2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72B5" w:rsidRPr="00A54DBB" w:rsidSect="00A54DBB">
      <w:footerReference w:type="default" r:id="rId10"/>
      <w:pgSz w:w="11909" w:h="16838"/>
      <w:pgMar w:top="1000" w:right="1359" w:bottom="1326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BB" w:rsidRDefault="00A54DBB">
      <w:r>
        <w:separator/>
      </w:r>
    </w:p>
  </w:endnote>
  <w:endnote w:type="continuationSeparator" w:id="0">
    <w:p w:rsidR="00A54DBB" w:rsidRDefault="00A5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BB" w:rsidRPr="00A54DBB" w:rsidRDefault="00A54DBB">
    <w:pPr>
      <w:pStyle w:val="ad"/>
      <w:jc w:val="center"/>
      <w:rPr>
        <w:rFonts w:ascii="Times New Roman" w:hAnsi="Times New Roman" w:cs="Times New Roman"/>
      </w:rPr>
    </w:pPr>
  </w:p>
  <w:p w:rsidR="00A54DBB" w:rsidRDefault="00A54DB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BB" w:rsidRDefault="00A54DBB">
    <w:pPr>
      <w:pStyle w:val="ad"/>
      <w:jc w:val="center"/>
    </w:pPr>
  </w:p>
  <w:p w:rsidR="003972B5" w:rsidRDefault="003972B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5" w:rsidRDefault="003972B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BB" w:rsidRDefault="00A54DBB"/>
  </w:footnote>
  <w:footnote w:type="continuationSeparator" w:id="0">
    <w:p w:rsidR="00A54DBB" w:rsidRDefault="00A54D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B4F17"/>
    <w:multiLevelType w:val="multilevel"/>
    <w:tmpl w:val="D172C062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FD4F0E"/>
    <w:multiLevelType w:val="multilevel"/>
    <w:tmpl w:val="A9D4A7B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471930"/>
    <w:multiLevelType w:val="hybridMultilevel"/>
    <w:tmpl w:val="0B8430FA"/>
    <w:lvl w:ilvl="0" w:tplc="E3CA5A18">
      <w:start w:val="1"/>
      <w:numFmt w:val="bullet"/>
      <w:lvlText w:val="-"/>
      <w:lvlJc w:val="left"/>
      <w:pPr>
        <w:ind w:left="128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7B76241E"/>
    <w:multiLevelType w:val="multilevel"/>
    <w:tmpl w:val="232C9474"/>
    <w:lvl w:ilvl="0">
      <w:start w:val="1"/>
      <w:numFmt w:val="bullet"/>
      <w:lvlText w:val="-"/>
      <w:lvlJc w:val="left"/>
      <w:rPr>
        <w:rFonts w:ascii="Sitka Subheading" w:hAnsi="Sitka Subheadi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B5"/>
    <w:rsid w:val="003972B5"/>
    <w:rsid w:val="00A5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36CD00"/>
  <w15:docId w15:val="{DBFAC28E-F9F4-4195-8CB7-30FBB02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Exact0">
    <w:name w:val="Основной текст Exac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a5">
    <w:name w:val="Подпись к картинке_"/>
    <w:basedOn w:val="a0"/>
    <w:link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картинке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-1pt">
    <w:name w:val="Подпись к картинке + 11 pt;Курсив;Интервал -1 pt"/>
    <w:basedOn w:val="a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-1pt0">
    <w:name w:val="Основной текст + 11 pt;Курсив;Интервал -1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pt-1pt1">
    <w:name w:val="Основной текст + 11 pt;Курсив;Интервал -1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322" w:lineRule="exact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  <w:ind w:hanging="520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A54D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DBB"/>
    <w:rPr>
      <w:color w:val="000000"/>
    </w:rPr>
  </w:style>
  <w:style w:type="paragraph" w:styleId="ad">
    <w:name w:val="footer"/>
    <w:basedOn w:val="a"/>
    <w:link w:val="ae"/>
    <w:uiPriority w:val="99"/>
    <w:unhideWhenUsed/>
    <w:rsid w:val="00A54D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D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3759-75AF-40C0-B579-B77894B6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Горелкина Наталья Александровна</dc:creator>
  <cp:lastModifiedBy>Горелкина Наталья Александровна</cp:lastModifiedBy>
  <cp:revision>1</cp:revision>
  <dcterms:created xsi:type="dcterms:W3CDTF">2024-08-08T06:46:00Z</dcterms:created>
  <dcterms:modified xsi:type="dcterms:W3CDTF">2024-08-08T07:07:00Z</dcterms:modified>
</cp:coreProperties>
</file>