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10"/>
        <w:widowControl w:val="false"/>
        <w:pBdr/>
        <w:spacing w:after="200" w:line="276" w:lineRule="auto"/>
        <w:ind w:firstLine="709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2"/>
          <w:szCs w:val="22"/>
          <w:lang w:eastAsia="en-US"/>
        </w:rPr>
        <w:t xml:space="preserve">                                                                            </w:t>
      </w:r>
      <w:r>
        <w:rPr>
          <w:rFonts w:ascii="PT Astra Serif" w:hAnsi="PT Astra Serif"/>
          <w:sz w:val="22"/>
          <w:szCs w:val="2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52.49pt;height:62.28pt;mso-wrap-distance-left:0.00pt;mso-wrap-distance-top:0.00pt;mso-wrap-distance-right:0.00pt;mso-wrap-distance-bottom:0.00pt;z-index:1;" filled="f" stroked="false">
            <v:imagedata r:id="rId9" o:title=""/>
            <o:lock v:ext="edit" rotation="t"/>
          </v:shape>
          <o:OLEObject DrawAspect="Content" r:id="rId10" ObjectID="_1525040" ProgID="" ShapeID="_x0000_i0" Type="Embed"/>
        </w:objec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pBdr/>
        <w:spacing w:after="200" w:line="276" w:lineRule="auto"/>
        <w:ind/>
        <w:jc w:val="center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финансовое управление администрации города Тулы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>
      <w:pPr>
        <w:pStyle w:val="910"/>
        <w:pBdr/>
        <w:spacing w:after="200" w:line="276" w:lineRule="auto"/>
        <w:ind/>
        <w:jc w:val="center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ПРИКАЗ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>
      <w:pPr>
        <w:pStyle w:val="910"/>
        <w:pBdr/>
        <w:spacing w:after="200" w:line="276" w:lineRule="auto"/>
        <w:ind/>
        <w:jc w:val="both"/>
        <w:rPr>
          <w:rFonts w:ascii="PT Astra Serif" w:hAnsi="PT Astra Serif"/>
          <w:color w:val="ff0000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От</w:t>
      </w:r>
      <w:r>
        <w:rPr>
          <w:rFonts w:ascii="PT Astra Serif" w:hAnsi="PT Astra Serif"/>
          <w:sz w:val="28"/>
          <w:szCs w:val="28"/>
          <w:lang w:eastAsia="en-US"/>
        </w:rPr>
        <w:t xml:space="preserve">_____</w:t>
      </w:r>
      <w:r>
        <w:rPr>
          <w:rFonts w:ascii="PT Astra Serif" w:hAnsi="PT Astra Serif"/>
          <w:sz w:val="28"/>
          <w:szCs w:val="28"/>
          <w:lang w:eastAsia="en-US"/>
        </w:rPr>
        <w:t xml:space="preserve">____</w:t>
      </w:r>
      <w:r>
        <w:rPr>
          <w:rFonts w:ascii="PT Astra Serif" w:hAnsi="PT Astra Serif"/>
          <w:sz w:val="28"/>
          <w:szCs w:val="28"/>
          <w:lang w:eastAsia="en-US"/>
        </w:rPr>
        <w:t xml:space="preserve">202</w:t>
      </w:r>
      <w:r>
        <w:rPr>
          <w:rFonts w:ascii="PT Astra Serif" w:hAnsi="PT Astra Serif"/>
          <w:sz w:val="28"/>
          <w:szCs w:val="28"/>
          <w:lang w:eastAsia="en-US"/>
        </w:rPr>
        <w:t xml:space="preserve">_</w:t>
      </w:r>
      <w:r>
        <w:rPr>
          <w:rFonts w:ascii="PT Astra Serif" w:hAnsi="PT Astra Serif"/>
          <w:sz w:val="28"/>
          <w:szCs w:val="28"/>
          <w:lang w:eastAsia="en-US"/>
        </w:rPr>
        <w:t xml:space="preserve">                                       </w:t>
      </w:r>
      <w:r>
        <w:rPr>
          <w:rFonts w:ascii="PT Astra Serif" w:hAnsi="PT Astra Serif"/>
          <w:sz w:val="28"/>
          <w:szCs w:val="28"/>
          <w:lang w:eastAsia="en-US"/>
        </w:rPr>
        <w:t xml:space="preserve">                            </w:t>
      </w:r>
      <w:r>
        <w:rPr>
          <w:rFonts w:ascii="PT Astra Serif" w:hAnsi="PT Astra Serif"/>
          <w:sz w:val="28"/>
          <w:szCs w:val="28"/>
          <w:lang w:eastAsia="en-US"/>
        </w:rPr>
        <w:t xml:space="preserve">                             №</w:t>
      </w:r>
      <w:r>
        <w:rPr>
          <w:rFonts w:ascii="PT Astra Serif" w:hAnsi="PT Astra Serif"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sz w:val="28"/>
          <w:szCs w:val="28"/>
          <w:lang w:eastAsia="en-US"/>
        </w:rPr>
        <w:t xml:space="preserve">__</w:t>
      </w:r>
      <w:r>
        <w:rPr>
          <w:rFonts w:ascii="PT Astra Serif" w:hAnsi="PT Astra Serif"/>
          <w:color w:val="ff0000"/>
          <w:sz w:val="28"/>
          <w:szCs w:val="28"/>
          <w:lang w:eastAsia="en-US"/>
        </w:rPr>
      </w:r>
      <w:r>
        <w:rPr>
          <w:rFonts w:ascii="PT Astra Serif" w:hAnsi="PT Astra Serif"/>
          <w:color w:val="ff0000"/>
          <w:sz w:val="28"/>
          <w:szCs w:val="28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О внесении изменени</w:t>
      </w:r>
      <w:r>
        <w:rPr>
          <w:rFonts w:ascii="PT Astra Serif" w:hAnsi="PT Astra Serif"/>
          <w:lang w:eastAsia="en-US"/>
        </w:rPr>
        <w:t xml:space="preserve">й</w:t>
      </w:r>
      <w:r>
        <w:rPr>
          <w:rFonts w:ascii="PT Astra Serif" w:hAnsi="PT Astra Serif"/>
          <w:lang w:eastAsia="en-US"/>
        </w:rPr>
        <w:t xml:space="preserve"> 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в приказ финансового управления 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администрации города Тулы 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от 10</w:t>
      </w:r>
      <w:r>
        <w:rPr>
          <w:rFonts w:ascii="PT Astra Serif" w:hAnsi="PT Astra Serif"/>
          <w:lang w:eastAsia="en-US"/>
        </w:rPr>
        <w:t xml:space="preserve">.1</w:t>
      </w:r>
      <w:r>
        <w:rPr>
          <w:rFonts w:ascii="PT Astra Serif" w:hAnsi="PT Astra Serif"/>
          <w:lang w:eastAsia="en-US"/>
        </w:rPr>
        <w:t xml:space="preserve">0</w:t>
      </w:r>
      <w:r>
        <w:rPr>
          <w:rFonts w:ascii="PT Astra Serif" w:hAnsi="PT Astra Serif"/>
          <w:lang w:eastAsia="en-US"/>
        </w:rPr>
        <w:t xml:space="preserve">.20</w:t>
      </w:r>
      <w:r>
        <w:rPr>
          <w:rFonts w:ascii="PT Astra Serif" w:hAnsi="PT Astra Serif"/>
          <w:lang w:eastAsia="en-US"/>
        </w:rPr>
        <w:t xml:space="preserve">2</w:t>
      </w:r>
      <w:r>
        <w:rPr>
          <w:rFonts w:ascii="PT Astra Serif" w:hAnsi="PT Astra Serif"/>
          <w:lang w:eastAsia="en-US"/>
        </w:rPr>
        <w:t xml:space="preserve">5 № </w:t>
      </w:r>
      <w:r>
        <w:rPr>
          <w:rFonts w:ascii="PT Astra Serif" w:hAnsi="PT Astra Serif"/>
          <w:lang w:eastAsia="en-US"/>
        </w:rPr>
        <w:t xml:space="preserve">54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 w:hanging="142"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 w:hanging="142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lang w:eastAsia="en-US"/>
        </w:rPr>
        <w:t xml:space="preserve">        </w:t>
        <w:tab/>
      </w:r>
      <w:r>
        <w:rPr>
          <w:rFonts w:ascii="PT Astra Serif" w:hAnsi="PT Astra Serif"/>
          <w:sz w:val="28"/>
          <w:szCs w:val="28"/>
          <w:lang w:eastAsia="en-US"/>
        </w:rPr>
        <w:t xml:space="preserve">   </w:t>
      </w:r>
      <w:r>
        <w:rPr>
          <w:rFonts w:ascii="PT Astra Serif" w:hAnsi="PT Astra Serif" w:eastAsia="Calibri"/>
          <w:sz w:val="28"/>
          <w:szCs w:val="28"/>
        </w:rPr>
        <w:t xml:space="preserve">В связи с изменением цен и потребности количества товаров и услуг,</w:t>
      </w:r>
      <w:r>
        <w:rPr>
          <w:rFonts w:ascii="PT Astra Serif" w:hAnsi="PT Astra Serif"/>
          <w:sz w:val="28"/>
          <w:szCs w:val="28"/>
          <w:lang w:eastAsia="en-US"/>
        </w:rPr>
        <w:t xml:space="preserve"> на основании Положения «О финансовом управлении администрации города Тулы» приказываю: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numPr>
          <w:ilvl w:val="0"/>
          <w:numId w:val="9"/>
        </w:numPr>
        <w:pBdr/>
        <w:spacing/>
        <w:ind w:firstLine="993" w:left="0"/>
        <w:contextualSpacing w:val="true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Внести</w:t>
      </w:r>
      <w:r>
        <w:rPr>
          <w:rFonts w:ascii="PT Astra Serif" w:hAnsi="PT Astra Serif"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sz w:val="28"/>
          <w:szCs w:val="28"/>
          <w:lang w:eastAsia="en-US"/>
        </w:rPr>
        <w:t xml:space="preserve">в приложение к приказу финансового управления администрации города Тулы от </w:t>
      </w:r>
      <w:r>
        <w:rPr>
          <w:rFonts w:ascii="PT Astra Serif" w:hAnsi="PT Astra Serif"/>
          <w:sz w:val="28"/>
          <w:szCs w:val="28"/>
          <w:lang w:eastAsia="en-US"/>
        </w:rPr>
        <w:t xml:space="preserve">1</w:t>
      </w:r>
      <w:r>
        <w:rPr>
          <w:rFonts w:ascii="PT Astra Serif" w:hAnsi="PT Astra Serif"/>
          <w:sz w:val="28"/>
          <w:szCs w:val="28"/>
          <w:lang w:eastAsia="en-US"/>
        </w:rPr>
        <w:t xml:space="preserve">0.1</w:t>
      </w:r>
      <w:r>
        <w:rPr>
          <w:rFonts w:ascii="PT Astra Serif" w:hAnsi="PT Astra Serif"/>
          <w:sz w:val="28"/>
          <w:szCs w:val="28"/>
          <w:lang w:eastAsia="en-US"/>
        </w:rPr>
        <w:t xml:space="preserve">0.202</w:t>
      </w:r>
      <w:r>
        <w:rPr>
          <w:rFonts w:ascii="PT Astra Serif" w:hAnsi="PT Astra Serif"/>
          <w:sz w:val="28"/>
          <w:szCs w:val="28"/>
          <w:lang w:eastAsia="en-US"/>
        </w:rPr>
        <w:t xml:space="preserve">5 № </w:t>
      </w:r>
      <w:r>
        <w:rPr>
          <w:rFonts w:ascii="PT Astra Serif" w:hAnsi="PT Astra Serif"/>
          <w:sz w:val="28"/>
          <w:szCs w:val="28"/>
          <w:lang w:eastAsia="en-US"/>
        </w:rPr>
        <w:t xml:space="preserve">54</w:t>
      </w:r>
      <w:r>
        <w:rPr>
          <w:rFonts w:ascii="PT Astra Serif" w:hAnsi="PT Astra Serif"/>
          <w:sz w:val="28"/>
          <w:szCs w:val="28"/>
          <w:lang w:eastAsia="en-US"/>
        </w:rPr>
        <w:t xml:space="preserve"> «Об утверждении нормативных затрат на обеспечение функций финансового управления администрации города Тулы</w:t>
      </w:r>
      <w:r>
        <w:rPr>
          <w:rFonts w:ascii="PT Astra Serif" w:hAnsi="PT Astra Serif"/>
          <w:sz w:val="28"/>
          <w:szCs w:val="28"/>
          <w:lang w:eastAsia="en-US"/>
        </w:rPr>
        <w:t xml:space="preserve"> и подведомственного муниципального казенного учреждения «Централизованная бухгалт</w:t>
      </w:r>
      <w:r>
        <w:rPr>
          <w:rFonts w:ascii="PT Astra Serif" w:hAnsi="PT Astra Serif"/>
          <w:sz w:val="28"/>
          <w:szCs w:val="28"/>
          <w:lang w:eastAsia="en-US"/>
        </w:rPr>
        <w:t xml:space="preserve">ерия администрации города Тулы»</w:t>
      </w:r>
      <w:r>
        <w:rPr>
          <w:rFonts w:ascii="PT Astra Serif" w:hAnsi="PT Astra Serif"/>
          <w:sz w:val="28"/>
          <w:szCs w:val="28"/>
          <w:lang w:eastAsia="en-US"/>
        </w:rPr>
        <w:t xml:space="preserve"> следующие изменения: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 w14:paraId="06F1BB01">
      <w:pPr>
        <w:widowControl w:val="false"/>
        <w:pBdr/>
        <w:spacing w:line="240" w:lineRule="auto"/>
        <w:ind/>
        <w:jc w:val="both"/>
        <w:rPr>
          <w:b w:val="0"/>
          <w:bCs w:val="0"/>
          <w:sz w:val="28"/>
          <w:szCs w:val="28"/>
          <w:highlight w:val="none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- изложить в Приложении № </w:t>
      </w:r>
      <w:r>
        <w:rPr>
          <w:rFonts w:ascii="PT Astra Serif" w:hAnsi="PT Astra Serif"/>
          <w:sz w:val="28"/>
          <w:szCs w:val="28"/>
          <w:lang w:eastAsia="en-US"/>
        </w:rPr>
        <w:t xml:space="preserve">21</w:t>
      </w:r>
      <w:r>
        <w:rPr>
          <w:rFonts w:ascii="PT Astra Serif" w:hAnsi="PT Astra Serif"/>
          <w:sz w:val="28"/>
          <w:szCs w:val="28"/>
          <w:lang w:eastAsia="en-US"/>
        </w:rPr>
        <w:t xml:space="preserve"> к нормативным затратам п/п 14,15 </w:t>
      </w:r>
      <w:r>
        <w:rPr>
          <w:rFonts w:ascii="PT Astra Serif" w:hAnsi="PT Astra Serif"/>
          <w:sz w:val="28"/>
          <w:szCs w:val="28"/>
          <w:lang w:eastAsia="en-US"/>
        </w:rPr>
        <w:t xml:space="preserve">Таблицы: </w:t>
      </w:r>
      <w:r>
        <w:rPr>
          <w:rFonts w:ascii="PT Astra Serif" w:hAnsi="PT Astra Serif" w:eastAsia="Times New Roman" w:cs="Times New Roman"/>
          <w:b w:val="0"/>
          <w:bCs w:val="0"/>
          <w:sz w:val="28"/>
          <w:szCs w:val="28"/>
          <w:lang w:eastAsia="ru-RU"/>
        </w:rPr>
        <w:t xml:space="preserve">нормативы затрат на закупку услуг по содержанию помещений для фу администрации г. Тулы </w:t>
      </w:r>
      <w:r>
        <w:rPr>
          <w:rFonts w:ascii="PT Astra Serif" w:hAnsi="PT Astra Serif" w:eastAsia="Times New Roman" w:cs="Times New Roman"/>
          <w:b w:val="0"/>
          <w:bCs w:val="0"/>
          <w:sz w:val="28"/>
          <w:szCs w:val="28"/>
          <w:lang w:eastAsia="ru-RU"/>
        </w:rPr>
        <w:t xml:space="preserve">(возмещение затрат ГУ ТО Сервис, ЗАО «ЛИМ», ООО «СЛОБОДКА»,ООО УК «Свой Дом»</w:t>
      </w:r>
      <w:r>
        <w:rPr>
          <w:rFonts w:ascii="PT Astra Serif" w:hAnsi="PT Astra Serif" w:eastAsia="Times New Roman" w:cs="Times New Roman"/>
          <w:b w:val="0"/>
          <w:bCs w:val="0"/>
          <w:sz w:val="28"/>
          <w:szCs w:val="28"/>
          <w:lang w:eastAsia="ru-RU"/>
        </w:rPr>
        <w:t xml:space="preserve">)</w:t>
      </w:r>
      <w:r>
        <w:rPr>
          <w:rFonts w:ascii="PT Astra Serif" w:hAnsi="PT Astra Serif"/>
          <w:b w:val="0"/>
          <w:bCs w:val="0"/>
          <w:sz w:val="28"/>
          <w:szCs w:val="28"/>
          <w:lang w:eastAsia="en-US"/>
        </w:rPr>
        <w:t xml:space="preserve">, в следующей редакции: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tbl>
      <w:tblPr>
        <w:tblInd w:w="62" w:type="dxa"/>
        <w:tblW w:w="10206" w:type="dxa"/>
        <w:tblCellMar>
          <w:left w:w="62" w:type="dxa"/>
          <w:top w:w="102" w:type="dxa"/>
          <w:right w:w="62" w:type="dxa"/>
          <w:bottom w:w="102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795"/>
        <w:gridCol w:w="4307"/>
        <w:gridCol w:w="2728"/>
        <w:gridCol w:w="2376"/>
      </w:tblGrid>
      <w:tr>
        <w:trPr>
          <w:trHeight w:val="6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vAlign w:val="center"/>
            <w:textDirection w:val="lrTb"/>
          </w:tcPr>
          <w:p>
            <w:pPr>
              <w:pStyle w:val="916"/>
              <w:pBdr/>
              <w:spacing/>
              <w:ind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N п/п</w:t>
            </w:r>
            <w:r>
              <w:rPr>
                <w:rFonts w:ascii="PT Astra Serif" w:hAnsi="PT Astra Serif"/>
                <w:sz w:val="22"/>
                <w:szCs w:val="22"/>
              </w:rPr>
            </w: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7" w:type="dxa"/>
            <w:vAlign w:val="center"/>
            <w:textDirection w:val="lrTb"/>
          </w:tcPr>
          <w:p w14:paraId="2D55088E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PT Astra Serif" w:hAnsi="PT Astra Serif" w:eastAsia="Times New Roman" w:cs="Times New Roman"/>
                <w:sz w:val="22"/>
                <w:szCs w:val="22"/>
              </w:rPr>
            </w:pPr>
            <w:r>
              <w:rPr>
                <w:rFonts w:ascii="PT Astra Serif" w:hAnsi="PT Astra Serif" w:eastAsia="Times New Roman" w:cs="Times New Roman"/>
                <w:sz w:val="22"/>
                <w:szCs w:val="22"/>
                <w:lang w:eastAsia="ru-RU"/>
              </w:rPr>
              <w:t xml:space="preserve">Наименование услуги управляющей компании</w:t>
            </w:r>
            <w:r>
              <w:rPr>
                <w:rFonts w:ascii="PT Astra Serif" w:hAnsi="PT Astra Serif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PT Astra Serif" w:hAnsi="PT Astra Serif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8" w:type="dxa"/>
            <w:vAlign w:val="center"/>
            <w:textDirection w:val="lrTb"/>
          </w:tcPr>
          <w:p w14:paraId="4FE34B53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PT Astra Serif" w:hAnsi="PT Astra Serif" w:eastAsia="Times New Roman" w:cs="Times New Roman"/>
                <w:sz w:val="22"/>
                <w:szCs w:val="22"/>
              </w:rPr>
            </w:pPr>
            <w:r>
              <w:rPr>
                <w:rFonts w:ascii="PT Astra Serif" w:hAnsi="PT Astra Serif" w:eastAsia="Times New Roman" w:cs="Times New Roman"/>
                <w:sz w:val="22"/>
                <w:szCs w:val="22"/>
                <w:lang w:eastAsia="ru-RU"/>
              </w:rPr>
              <w:t xml:space="preserve">Цена услуги управляющей компании руб. в месяц</w:t>
            </w:r>
            <w:r>
              <w:rPr>
                <w:rFonts w:ascii="PT Astra Serif" w:hAnsi="PT Astra Serif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PT Astra Serif" w:hAnsi="PT Astra Serif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textDirection w:val="lrTb"/>
          </w:tcPr>
          <w:p w14:paraId="36E1ACA8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PT Astra Serif" w:hAnsi="PT Astra Serif" w:eastAsia="Times New Roman" w:cs="Times New Roman"/>
                <w:sz w:val="22"/>
                <w:szCs w:val="22"/>
              </w:rPr>
            </w:pPr>
            <w:r>
              <w:rPr>
                <w:rFonts w:ascii="PT Astra Serif" w:hAnsi="PT Astra Serif" w:eastAsia="Times New Roman" w:cs="Times New Roman"/>
                <w:sz w:val="22"/>
                <w:szCs w:val="22"/>
                <w:lang w:eastAsia="ru-RU"/>
              </w:rPr>
              <w:t xml:space="preserve">Планируемое количество месяцев</w:t>
            </w:r>
            <w:r>
              <w:rPr>
                <w:rFonts w:ascii="PT Astra Serif" w:hAnsi="PT Astra Serif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PT Astra Serif" w:hAnsi="PT Astra Serif" w:eastAsia="Times New Roman" w:cs="Times New Roman"/>
                <w:sz w:val="22"/>
                <w:szCs w:val="22"/>
              </w:rPr>
            </w:r>
          </w:p>
        </w:tc>
      </w:tr>
      <w:tr>
        <w:trPr>
          <w:trHeight w:val="6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vAlign w:val="center"/>
            <w:textDirection w:val="lrTb"/>
          </w:tcPr>
          <w:p>
            <w:pPr>
              <w:pStyle w:val="921"/>
              <w:pBdr/>
              <w:spacing/>
              <w:ind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14.</w:t>
            </w:r>
            <w:r>
              <w:rPr>
                <w:rFonts w:ascii="PT Astra Serif" w:hAnsi="PT Astra Serif"/>
                <w:sz w:val="22"/>
                <w:szCs w:val="22"/>
              </w:rPr>
            </w: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7" w:type="dxa"/>
            <w:vAlign w:val="top"/>
            <w:textDirection w:val="lrTb"/>
          </w:tcPr>
          <w:p w14:paraId="48CEAA88">
            <w:pPr>
              <w:widowControl w:val="false"/>
              <w:pBdr/>
              <w:spacing w:after="0" w:line="240" w:lineRule="auto"/>
              <w:ind/>
              <w:jc w:val="both"/>
              <w:rPr>
                <w:rFonts w:ascii="PT Astra Serif" w:hAnsi="PT Astra Serif" w:eastAsia="Times New Roman" w:cs="Times New Roman"/>
                <w:sz w:val="22"/>
                <w:szCs w:val="22"/>
              </w:rPr>
            </w:pPr>
            <w:r>
              <w:rPr>
                <w:rFonts w:ascii="PT Astra Serif" w:hAnsi="PT Astra Serif" w:eastAsia="Times New Roman" w:cs="Times New Roman"/>
                <w:sz w:val="22"/>
                <w:szCs w:val="22"/>
                <w:lang w:eastAsia="ru-RU"/>
              </w:rPr>
              <w:t xml:space="preserve">Оказание услуг по управлению и техническому обслуживанию общедомового имущества по ул. М.Горького, д.45</w:t>
            </w:r>
            <w:r>
              <w:rPr>
                <w:rFonts w:ascii="PT Astra Serif" w:hAnsi="PT Astra Serif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PT Astra Serif" w:hAnsi="PT Astra Serif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8" w:type="dxa"/>
            <w:vAlign w:val="top"/>
            <w:textDirection w:val="lrTb"/>
          </w:tcPr>
          <w:p w14:paraId="7C4568E2">
            <w:pPr>
              <w:pStyle w:val="921"/>
              <w:pBdr/>
              <w:spacing/>
              <w:ind/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  <w:highlight w:val="none"/>
              </w:rPr>
            </w:r>
            <w:r>
              <w:rPr>
                <w:rFonts w:ascii="PT Astra Serif" w:hAnsi="PT Astra Serif"/>
                <w:sz w:val="22"/>
                <w:szCs w:val="22"/>
                <w:highlight w:val="none"/>
              </w:rPr>
            </w:r>
            <w:r>
              <w:rPr>
                <w:rFonts w:ascii="PT Astra Serif" w:hAnsi="PT Astra Serif"/>
                <w:sz w:val="22"/>
                <w:szCs w:val="22"/>
                <w:highlight w:val="none"/>
              </w:rPr>
            </w:r>
          </w:p>
          <w:p>
            <w:pPr>
              <w:pStyle w:val="921"/>
              <w:pBdr/>
              <w:spacing/>
              <w:ind/>
              <w:jc w:val="center"/>
              <w:rPr>
                <w:rFonts w:ascii="PT Astra Serif" w:hAnsi="PT Astra Serif"/>
                <w:sz w:val="22"/>
                <w:szCs w:val="22"/>
                <w:highlight w:val="none"/>
              </w:rPr>
            </w:pPr>
            <w:r>
              <w:rPr>
                <w:rFonts w:ascii="PT Astra Serif" w:hAnsi="PT Astra Serif"/>
                <w:sz w:val="22"/>
                <w:szCs w:val="22"/>
                <w:highlight w:val="none"/>
              </w:rPr>
              <w:t xml:space="preserve">1 250,00</w:t>
            </w: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top"/>
            <w:textDirection w:val="lrTb"/>
          </w:tcPr>
          <w:p>
            <w:pPr>
              <w:pStyle w:val="921"/>
              <w:pBdr/>
              <w:spacing/>
              <w:ind/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  <w:highlight w:val="none"/>
              </w:rPr>
              <w:t xml:space="preserve">7</w:t>
            </w: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</w:p>
        </w:tc>
      </w:tr>
      <w:tr>
        <w:trPr>
          <w:trHeight w:val="5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vAlign w:val="center"/>
            <w:vMerge w:val="restart"/>
            <w:textDirection w:val="lrTb"/>
          </w:tcPr>
          <w:p w14:paraId="7EFA5C11">
            <w:pPr>
              <w:pStyle w:val="921"/>
              <w:pBdr/>
              <w:spacing/>
              <w:ind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15.</w:t>
            </w:r>
            <w:r>
              <w:rPr>
                <w:rFonts w:ascii="PT Astra Serif" w:hAnsi="PT Astra Serif"/>
                <w:sz w:val="22"/>
                <w:szCs w:val="22"/>
              </w:rPr>
            </w: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7" w:type="dxa"/>
            <w:vAlign w:val="top"/>
            <w:vMerge w:val="restart"/>
            <w:textDirection w:val="lrTb"/>
          </w:tcPr>
          <w:p w14:paraId="4B2215DD">
            <w:pPr>
              <w:pBdr/>
              <w:spacing w:after="0" w:line="240" w:lineRule="auto"/>
              <w:ind/>
              <w:jc w:val="both"/>
              <w:rPr>
                <w:rFonts w:ascii="PT Astra Serif" w:hAnsi="PT Astra Serif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Оказание услуг по техническому обслуживанию водяных счетчиков (поверка)</w:t>
            </w:r>
            <w:r>
              <w:rPr>
                <w:rFonts w:ascii="PT Astra Serif" w:hAnsi="PT Astra Serif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PT Astra Serif" w:hAnsi="PT Astra Serif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8" w:type="dxa"/>
            <w:vAlign w:val="top"/>
            <w:vMerge w:val="restart"/>
            <w:textDirection w:val="lrTb"/>
          </w:tcPr>
          <w:p w14:paraId="0646C4EE">
            <w:pPr>
              <w:pStyle w:val="921"/>
              <w:pBdr/>
              <w:spacing/>
              <w:ind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  <w:highlight w:val="none"/>
              </w:rPr>
            </w:r>
            <w:r>
              <w:rPr>
                <w:rFonts w:ascii="PT Astra Serif" w:hAnsi="PT Astra Serif"/>
                <w:sz w:val="22"/>
                <w:szCs w:val="22"/>
                <w:highlight w:val="none"/>
              </w:rPr>
            </w:r>
            <w:r>
              <w:rPr>
                <w:rFonts w:ascii="PT Astra Serif" w:hAnsi="PT Astra Serif"/>
                <w:sz w:val="22"/>
                <w:szCs w:val="22"/>
                <w:highlight w:val="none"/>
              </w:rPr>
            </w:r>
          </w:p>
          <w:p w14:paraId="3C86F039">
            <w:pPr>
              <w:pStyle w:val="921"/>
              <w:pBdr/>
              <w:spacing/>
              <w:ind/>
              <w:jc w:val="center"/>
              <w:rPr>
                <w:rFonts w:ascii="PT Astra Serif" w:hAnsi="PT Astra Serif"/>
                <w:sz w:val="22"/>
                <w:szCs w:val="22"/>
                <w:highlight w:val="none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2 793,80</w:t>
            </w:r>
            <w:r>
              <w:rPr>
                <w:rFonts w:ascii="PT Astra Serif" w:hAnsi="PT Astra Serif"/>
                <w:sz w:val="22"/>
                <w:szCs w:val="22"/>
              </w:rPr>
            </w: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top"/>
            <w:vMerge w:val="restart"/>
            <w:textDirection w:val="lrTb"/>
          </w:tcPr>
          <w:p w14:paraId="59DFCE77">
            <w:pPr>
              <w:pStyle w:val="921"/>
              <w:pBdr/>
              <w:spacing/>
              <w:ind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1</w:t>
            </w:r>
            <w:r>
              <w:rPr>
                <w:rFonts w:ascii="PT Astra Serif" w:hAnsi="PT Astra Serif"/>
                <w:sz w:val="22"/>
                <w:szCs w:val="22"/>
              </w:rPr>
            </w: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</w:tbl>
    <w:p>
      <w:pPr>
        <w:pStyle w:val="910"/>
        <w:numPr>
          <w:ilvl w:val="0"/>
          <w:numId w:val="9"/>
        </w:numPr>
        <w:pBdr/>
        <w:spacing w:after="200"/>
        <w:ind w:firstLine="993" w:left="0"/>
        <w:contextualSpacing w:val="true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Контрактному управляющему финансового управления администрации города Тулы в течение </w:t>
      </w:r>
      <w:r>
        <w:rPr>
          <w:rFonts w:ascii="PT Astra Serif" w:hAnsi="PT Astra Serif"/>
          <w:sz w:val="28"/>
          <w:szCs w:val="28"/>
          <w:lang w:eastAsia="en-US"/>
        </w:rPr>
        <w:t xml:space="preserve">7</w:t>
      </w:r>
      <w:r>
        <w:rPr>
          <w:rFonts w:ascii="PT Astra Serif" w:hAnsi="PT Astra Serif"/>
          <w:sz w:val="28"/>
          <w:szCs w:val="28"/>
          <w:lang w:eastAsia="en-US"/>
        </w:rPr>
        <w:t xml:space="preserve"> (</w:t>
      </w:r>
      <w:r>
        <w:rPr>
          <w:rFonts w:ascii="PT Astra Serif" w:hAnsi="PT Astra Serif"/>
          <w:sz w:val="28"/>
          <w:szCs w:val="28"/>
          <w:lang w:eastAsia="en-US"/>
        </w:rPr>
        <w:t xml:space="preserve">семи</w:t>
      </w:r>
      <w:r>
        <w:rPr>
          <w:rFonts w:ascii="PT Astra Serif" w:hAnsi="PT Astra Serif"/>
          <w:sz w:val="28"/>
          <w:szCs w:val="28"/>
          <w:lang w:eastAsia="en-US"/>
        </w:rPr>
        <w:t xml:space="preserve">) рабочих дней со дня подписания настоящего приказа разместить его на официальном сайте Российской Федерации в информационно-телекоммуникационной сети </w:t>
      </w:r>
      <w:bookmarkStart w:id="0" w:name="_GoBack"/>
      <w:r/>
      <w:bookmarkEnd w:id="0"/>
      <w:r>
        <w:rPr>
          <w:rFonts w:ascii="PT Astra Serif" w:hAnsi="PT Astra Serif"/>
          <w:sz w:val="28"/>
          <w:szCs w:val="28"/>
          <w:lang w:eastAsia="en-US"/>
        </w:rPr>
        <w:t xml:space="preserve">Интернет для размещения информации о размещении заказов на поставки товаров, выполнение работ, оказание услуг (</w:t>
      </w:r>
      <w:r>
        <w:rPr>
          <w:rFonts w:ascii="PT Astra Serif" w:hAnsi="PT Astra Serif"/>
          <w:sz w:val="28"/>
          <w:szCs w:val="28"/>
          <w:lang w:eastAsia="en-US"/>
        </w:rPr>
        <w:fldChar w:fldCharType="begin"/>
      </w:r>
      <w:r>
        <w:rPr>
          <w:rFonts w:ascii="PT Astra Serif" w:hAnsi="PT Astra Serif"/>
          <w:sz w:val="28"/>
          <w:szCs w:val="28"/>
          <w:lang w:eastAsia="en-US"/>
        </w:rPr>
        <w:instrText xml:space="preserve"> HYPERLINK "http://www.zakupki.gov.ru" </w:instrText>
      </w:r>
      <w:r>
        <w:rPr>
          <w:rFonts w:ascii="PT Astra Serif" w:hAnsi="PT Astra Serif"/>
          <w:sz w:val="28"/>
          <w:szCs w:val="28"/>
          <w:lang w:eastAsia="en-US"/>
        </w:rPr>
        <w:fldChar w:fldCharType="separate"/>
      </w:r>
      <w:r>
        <w:rPr>
          <w:rFonts w:ascii="PT Astra Serif" w:hAnsi="PT Astra Serif"/>
          <w:sz w:val="28"/>
          <w:szCs w:val="28"/>
          <w:lang w:eastAsia="en-US"/>
        </w:rPr>
        <w:t xml:space="preserve">www.zakupki.gov.ru</w:t>
      </w:r>
      <w:r>
        <w:rPr>
          <w:rFonts w:ascii="PT Astra Serif" w:hAnsi="PT Astra Serif"/>
          <w:sz w:val="28"/>
          <w:szCs w:val="28"/>
          <w:lang w:eastAsia="en-US"/>
        </w:rPr>
        <w:fldChar w:fldCharType="end"/>
      </w:r>
      <w:r>
        <w:rPr>
          <w:rFonts w:ascii="PT Astra Serif" w:hAnsi="PT Astra Serif"/>
          <w:sz w:val="28"/>
          <w:szCs w:val="28"/>
          <w:lang w:eastAsia="en-US"/>
        </w:rPr>
        <w:t xml:space="preserve">).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widowControl w:val="false"/>
        <w:numPr>
          <w:ilvl w:val="0"/>
          <w:numId w:val="9"/>
        </w:numPr>
        <w:pBdr/>
        <w:spacing w:line="276" w:lineRule="auto"/>
        <w:ind w:firstLine="993" w:left="-142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Приказ вступает в силу со дня подписания.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 w14:paraId="740A417D">
      <w:pPr>
        <w:pStyle w:val="910"/>
        <w:widowControl w:val="false"/>
        <w:pBdr/>
        <w:spacing w:line="276" w:lineRule="auto"/>
        <w:ind w:firstLine="0" w:left="0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highlight w:val="none"/>
          <w:lang w:eastAsia="en-US"/>
        </w:rPr>
      </w:r>
      <w:r>
        <w:rPr>
          <w:rFonts w:ascii="PT Astra Serif" w:hAnsi="PT Astra Serif"/>
          <w:sz w:val="28"/>
          <w:szCs w:val="28"/>
          <w:highlight w:val="none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Н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ачальник финансового управления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администрации города Тулы           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       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И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.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Д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.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Дробот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 w14:paraId="2D7BFF04">
      <w:pPr>
        <w:pStyle w:val="910"/>
        <w:widowControl w:val="false"/>
        <w:pBdr/>
        <w:spacing/>
        <w:ind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sectPr>
      <w:footnotePr/>
      <w:endnotePr>
        <w:numFmt w:val="decimal"/>
      </w:endnotePr>
      <w:type w:val="nextPage"/>
      <w:pgSz w:h="16838" w:orient="portrait" w:w="11906"/>
      <w:pgMar w:top="426" w:right="566" w:bottom="851" w:left="1134" w:header="709" w:footer="709" w:gutter="0"/>
      <w:pgNumType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Verdana">
    <w:panose1 w:val="020B0604030504040204"/>
  </w:font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C4C57"/>
    <w:lvl w:ilvl="0">
      <w:isLgl w:val="false"/>
      <w:lvlJc w:val="left"/>
      <w:lvlText w:val=""/>
      <w:numFmt w:val="bullet"/>
      <w:pPr>
        <w:pBdr/>
        <w:tabs>
          <w:tab w:val="num" w:leader="none" w:pos="1070"/>
        </w:tabs>
        <w:spacing/>
        <w:ind w:hanging="360" w:left="107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Symbol" w:hAnsi="Symbol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Symbol" w:hAnsi="Symbol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Symbol" w:hAnsi="Symbol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Symbol" w:hAnsi="Symbol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Symbol" w:hAnsi="Symbol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Symbol" w:hAnsi="Symbol"/>
      </w:rPr>
      <w:start w:val="1"/>
      <w:suff w:val="tab"/>
    </w:lvl>
  </w:abstractNum>
  <w:abstractNum w:abstractNumId="1">
    <w:nsid w:val="0C8D419F"/>
    <w:lvl w:ilvl="0">
      <w:isLgl w:val="false"/>
      <w:lvlJc w:val="left"/>
      <w:lvlText w:val="%1"/>
      <w:numFmt w:val="decimal"/>
      <w:pPr>
        <w:pBdr/>
        <w:spacing/>
        <w:ind w:hanging="360" w:left="720"/>
      </w:pPr>
      <w:rPr/>
      <w:start w:val="80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13734BB4"/>
    <w:lvl w:ilvl="0">
      <w:isLgl w:val="false"/>
      <w:lvlJc w:val="left"/>
      <w:lvlText w:val="%1."/>
      <w:numFmt w:val="decimal"/>
      <w:pPr>
        <w:pBdr/>
        <w:spacing/>
        <w:ind w:hanging="360" w:left="1144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1CA51B57"/>
    <w:lvl w:ilvl="0">
      <w:isLgl w:val="false"/>
      <w:lvlJc w:val="left"/>
      <w:lvlText w:val="%1."/>
      <w:numFmt w:val="decimal"/>
      <w:pPr>
        <w:pBdr/>
        <w:spacing/>
        <w:ind w:hanging="360" w:left="3621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3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5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7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9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1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3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5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70"/>
      </w:pPr>
      <w:rPr>
        <w:rFonts w:cs="Times New Roman"/>
      </w:rPr>
      <w:start w:val="1"/>
      <w:suff w:val="tab"/>
    </w:lvl>
  </w:abstractNum>
  <w:abstractNum w:abstractNumId="4">
    <w:nsid w:val="47455C19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4FB21F50"/>
    <w:lvl w:ilvl="0">
      <w:isLgl w:val="false"/>
      <w:lvlJc w:val="left"/>
      <w:lvlText w:val="%1."/>
      <w:numFmt w:val="decimal"/>
      <w:pPr>
        <w:pBdr/>
        <w:spacing/>
        <w:ind w:hanging="360" w:left="1144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6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8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0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2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4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6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8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04"/>
      </w:pPr>
      <w:rPr/>
      <w:start w:val="1"/>
      <w:suff w:val="tab"/>
    </w:lvl>
  </w:abstractNum>
  <w:abstractNum w:abstractNumId="6">
    <w:nsid w:val="546976E4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7">
    <w:nsid w:val="5B412151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Arial" w:hAnsi="Arial"/>
      </w:rPr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Arial" w:hAnsi="Arial"/>
      </w:rPr>
      <w:start w:val="1"/>
      <w:suff w:val="tab"/>
    </w:lvl>
    <w:lvl w:ilvl="2">
      <w:isLgl w:val="false"/>
      <w:lvlJc w:val="left"/>
      <w:lvlText w:val="-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Arial" w:hAnsi="Arial"/>
      </w:rPr>
      <w:start w:val="1"/>
      <w:suff w:val="tab"/>
    </w:lvl>
    <w:lvl w:ilvl="3">
      <w:isLgl w:val="false"/>
      <w:lvlJc w:val="left"/>
      <w:lvlText w:val="-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Arial" w:hAnsi="Arial"/>
      </w:rPr>
      <w:start w:val="1"/>
      <w:suff w:val="tab"/>
    </w:lvl>
    <w:lvl w:ilvl="4">
      <w:isLgl w:val="false"/>
      <w:lvlJc w:val="left"/>
      <w:lvlText w:val="-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Arial" w:hAnsi="Arial"/>
      </w:rPr>
      <w:start w:val="1"/>
      <w:suff w:val="tab"/>
    </w:lvl>
    <w:lvl w:ilvl="5">
      <w:isLgl w:val="false"/>
      <w:lvlJc w:val="left"/>
      <w:lvlText w:val="-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Arial" w:hAnsi="Arial"/>
      </w:rPr>
      <w:start w:val="1"/>
      <w:suff w:val="tab"/>
    </w:lvl>
    <w:lvl w:ilvl="6">
      <w:isLgl w:val="false"/>
      <w:lvlJc w:val="left"/>
      <w:lvlText w:val="-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Arial" w:hAnsi="Arial"/>
      </w:rPr>
      <w:start w:val="1"/>
      <w:suff w:val="tab"/>
    </w:lvl>
    <w:lvl w:ilvl="7">
      <w:isLgl w:val="false"/>
      <w:lvlJc w:val="left"/>
      <w:lvlText w:val="-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Arial" w:hAnsi="Arial"/>
      </w:rPr>
      <w:start w:val="1"/>
      <w:suff w:val="tab"/>
    </w:lvl>
    <w:lvl w:ilvl="8">
      <w:isLgl w:val="false"/>
      <w:lvlJc w:val="left"/>
      <w:lvlText w:val="-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Arial" w:hAnsi="Arial"/>
      </w:rPr>
      <w:start w:val="1"/>
      <w:suff w:val="tab"/>
    </w:lvl>
  </w:abstractNum>
  <w:abstractNum w:abstractNumId="8">
    <w:nsid w:val="6A836A1B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9">
    <w:nsid w:val="7C367D9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Symbol" w:hAnsi="Symbol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Symbol" w:hAnsi="Symbol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Symbol" w:hAnsi="Symbol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Symbol" w:hAnsi="Symbol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Symbol" w:hAnsi="Symbol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Symbol" w:hAnsi="Symbol"/>
      </w:rPr>
      <w:start w:val="1"/>
      <w:suff w:val="tab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Table Grid Light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1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2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1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2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3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5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6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8">
    <w:name w:val="Heading 1"/>
    <w:basedOn w:val="910"/>
    <w:next w:val="910"/>
    <w:link w:val="85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9">
    <w:name w:val="Heading 2"/>
    <w:basedOn w:val="910"/>
    <w:next w:val="910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0">
    <w:name w:val="Heading 3"/>
    <w:basedOn w:val="910"/>
    <w:next w:val="910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1">
    <w:name w:val="Heading 4"/>
    <w:basedOn w:val="910"/>
    <w:next w:val="910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2">
    <w:name w:val="Heading 5"/>
    <w:basedOn w:val="910"/>
    <w:next w:val="910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3">
    <w:name w:val="Heading 6"/>
    <w:basedOn w:val="910"/>
    <w:next w:val="910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4">
    <w:name w:val="Heading 7"/>
    <w:basedOn w:val="910"/>
    <w:next w:val="910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5">
    <w:name w:val="Heading 8"/>
    <w:basedOn w:val="910"/>
    <w:next w:val="910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6">
    <w:name w:val="Heading 9"/>
    <w:basedOn w:val="910"/>
    <w:next w:val="910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7" w:default="1">
    <w:name w:val="Default Paragraph Font"/>
    <w:uiPriority w:val="1"/>
    <w:semiHidden/>
    <w:unhideWhenUsed/>
    <w:pPr>
      <w:pBdr/>
      <w:spacing/>
      <w:ind/>
    </w:pPr>
  </w:style>
  <w:style w:type="numbering" w:styleId="858" w:default="1">
    <w:name w:val="No List"/>
    <w:uiPriority w:val="99"/>
    <w:semiHidden/>
    <w:unhideWhenUsed/>
    <w:pPr>
      <w:pBdr/>
      <w:spacing/>
      <w:ind/>
    </w:pPr>
  </w:style>
  <w:style w:type="character" w:styleId="859">
    <w:name w:val="Heading 1 Char"/>
    <w:basedOn w:val="857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857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857"/>
    <w:link w:val="8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857"/>
    <w:link w:val="85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857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857"/>
    <w:link w:val="85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857"/>
    <w:link w:val="85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857"/>
    <w:link w:val="85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857"/>
    <w:link w:val="8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10"/>
    <w:next w:val="910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857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10"/>
    <w:next w:val="910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857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10"/>
    <w:next w:val="910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857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4">
    <w:name w:val="List Paragraph"/>
    <w:basedOn w:val="910"/>
    <w:uiPriority w:val="34"/>
    <w:qFormat/>
    <w:pPr>
      <w:pBdr/>
      <w:spacing/>
      <w:ind w:left="720"/>
      <w:contextualSpacing w:val="true"/>
    </w:pPr>
  </w:style>
  <w:style w:type="character" w:styleId="875">
    <w:name w:val="Intense Emphasis"/>
    <w:basedOn w:val="85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6">
    <w:name w:val="Intense Quote"/>
    <w:basedOn w:val="910"/>
    <w:next w:val="910"/>
    <w:link w:val="87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7">
    <w:name w:val="Intense Quote Char"/>
    <w:basedOn w:val="857"/>
    <w:link w:val="87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8">
    <w:name w:val="Intense Reference"/>
    <w:basedOn w:val="85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9">
    <w:name w:val="No Spacing"/>
    <w:basedOn w:val="910"/>
    <w:uiPriority w:val="1"/>
    <w:qFormat/>
    <w:pPr>
      <w:pBdr/>
      <w:spacing w:after="0" w:line="240" w:lineRule="auto"/>
      <w:ind/>
    </w:pPr>
  </w:style>
  <w:style w:type="character" w:styleId="880">
    <w:name w:val="Subtle Emphasis"/>
    <w:basedOn w:val="85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Emphasis"/>
    <w:basedOn w:val="857"/>
    <w:uiPriority w:val="20"/>
    <w:qFormat/>
    <w:pPr>
      <w:pBdr/>
      <w:spacing/>
      <w:ind/>
    </w:pPr>
    <w:rPr>
      <w:i/>
      <w:iCs/>
    </w:rPr>
  </w:style>
  <w:style w:type="character" w:styleId="882">
    <w:name w:val="Strong"/>
    <w:basedOn w:val="857"/>
    <w:uiPriority w:val="22"/>
    <w:qFormat/>
    <w:pPr>
      <w:pBdr/>
      <w:spacing/>
      <w:ind/>
    </w:pPr>
    <w:rPr>
      <w:b/>
      <w:bCs/>
    </w:rPr>
  </w:style>
  <w:style w:type="character" w:styleId="883">
    <w:name w:val="Subtle Reference"/>
    <w:basedOn w:val="85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4">
    <w:name w:val="Book Title"/>
    <w:basedOn w:val="85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5">
    <w:name w:val="Header"/>
    <w:basedOn w:val="910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6">
    <w:name w:val="Header Char"/>
    <w:basedOn w:val="857"/>
    <w:link w:val="885"/>
    <w:uiPriority w:val="99"/>
    <w:pPr>
      <w:pBdr/>
      <w:spacing/>
      <w:ind/>
    </w:pPr>
  </w:style>
  <w:style w:type="paragraph" w:styleId="887">
    <w:name w:val="Footer"/>
    <w:basedOn w:val="910"/>
    <w:link w:val="88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8">
    <w:name w:val="Footer Char"/>
    <w:basedOn w:val="857"/>
    <w:link w:val="887"/>
    <w:uiPriority w:val="99"/>
    <w:pPr>
      <w:pBdr/>
      <w:spacing/>
      <w:ind/>
    </w:pPr>
  </w:style>
  <w:style w:type="paragraph" w:styleId="889">
    <w:name w:val="Caption"/>
    <w:basedOn w:val="910"/>
    <w:next w:val="91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0">
    <w:name w:val="footnote text"/>
    <w:basedOn w:val="910"/>
    <w:link w:val="89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1">
    <w:name w:val="Footnote Text Char"/>
    <w:basedOn w:val="857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foot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910"/>
    <w:link w:val="89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4">
    <w:name w:val="Endnote Text Char"/>
    <w:basedOn w:val="857"/>
    <w:link w:val="893"/>
    <w:uiPriority w:val="99"/>
    <w:semiHidden/>
    <w:pPr>
      <w:pBdr/>
      <w:spacing/>
      <w:ind/>
    </w:pPr>
    <w:rPr>
      <w:sz w:val="20"/>
      <w:szCs w:val="20"/>
    </w:rPr>
  </w:style>
  <w:style w:type="character" w:styleId="895">
    <w:name w:val="end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character" w:styleId="896">
    <w:name w:val="Hyperlink"/>
    <w:basedOn w:val="85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7">
    <w:name w:val="FollowedHyperlink"/>
    <w:basedOn w:val="85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8">
    <w:name w:val="toc 1"/>
    <w:basedOn w:val="910"/>
    <w:next w:val="910"/>
    <w:uiPriority w:val="39"/>
    <w:unhideWhenUsed/>
    <w:pPr>
      <w:pBdr/>
      <w:spacing w:after="100"/>
      <w:ind/>
    </w:pPr>
  </w:style>
  <w:style w:type="paragraph" w:styleId="899">
    <w:name w:val="toc 2"/>
    <w:basedOn w:val="910"/>
    <w:next w:val="910"/>
    <w:uiPriority w:val="39"/>
    <w:unhideWhenUsed/>
    <w:pPr>
      <w:pBdr/>
      <w:spacing w:after="100"/>
      <w:ind w:left="220"/>
    </w:pPr>
  </w:style>
  <w:style w:type="paragraph" w:styleId="900">
    <w:name w:val="toc 3"/>
    <w:basedOn w:val="910"/>
    <w:next w:val="910"/>
    <w:uiPriority w:val="39"/>
    <w:unhideWhenUsed/>
    <w:pPr>
      <w:pBdr/>
      <w:spacing w:after="100"/>
      <w:ind w:left="440"/>
    </w:pPr>
  </w:style>
  <w:style w:type="paragraph" w:styleId="901">
    <w:name w:val="toc 4"/>
    <w:basedOn w:val="910"/>
    <w:next w:val="910"/>
    <w:uiPriority w:val="39"/>
    <w:unhideWhenUsed/>
    <w:pPr>
      <w:pBdr/>
      <w:spacing w:after="100"/>
      <w:ind w:left="660"/>
    </w:pPr>
  </w:style>
  <w:style w:type="paragraph" w:styleId="902">
    <w:name w:val="toc 5"/>
    <w:basedOn w:val="910"/>
    <w:next w:val="910"/>
    <w:uiPriority w:val="39"/>
    <w:unhideWhenUsed/>
    <w:pPr>
      <w:pBdr/>
      <w:spacing w:after="100"/>
      <w:ind w:left="880"/>
    </w:pPr>
  </w:style>
  <w:style w:type="paragraph" w:styleId="903">
    <w:name w:val="toc 6"/>
    <w:basedOn w:val="910"/>
    <w:next w:val="910"/>
    <w:uiPriority w:val="39"/>
    <w:unhideWhenUsed/>
    <w:pPr>
      <w:pBdr/>
      <w:spacing w:after="100"/>
      <w:ind w:left="1100"/>
    </w:pPr>
  </w:style>
  <w:style w:type="paragraph" w:styleId="904">
    <w:name w:val="toc 7"/>
    <w:basedOn w:val="910"/>
    <w:next w:val="910"/>
    <w:uiPriority w:val="39"/>
    <w:unhideWhenUsed/>
    <w:pPr>
      <w:pBdr/>
      <w:spacing w:after="100"/>
      <w:ind w:left="1320"/>
    </w:pPr>
  </w:style>
  <w:style w:type="paragraph" w:styleId="905">
    <w:name w:val="toc 8"/>
    <w:basedOn w:val="910"/>
    <w:next w:val="910"/>
    <w:uiPriority w:val="39"/>
    <w:unhideWhenUsed/>
    <w:pPr>
      <w:pBdr/>
      <w:spacing w:after="100"/>
      <w:ind w:left="1540"/>
    </w:pPr>
  </w:style>
  <w:style w:type="paragraph" w:styleId="906">
    <w:name w:val="toc 9"/>
    <w:basedOn w:val="910"/>
    <w:next w:val="910"/>
    <w:uiPriority w:val="39"/>
    <w:unhideWhenUsed/>
    <w:pPr>
      <w:pBdr/>
      <w:spacing w:after="100"/>
      <w:ind w:left="1760"/>
    </w:pPr>
  </w:style>
  <w:style w:type="character" w:styleId="907">
    <w:name w:val="Placeholder Text"/>
    <w:basedOn w:val="857"/>
    <w:uiPriority w:val="99"/>
    <w:semiHidden/>
    <w:pPr>
      <w:pBdr/>
      <w:spacing/>
      <w:ind/>
    </w:pPr>
    <w:rPr>
      <w:color w:val="666666"/>
    </w:r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910"/>
    <w:next w:val="910"/>
    <w:uiPriority w:val="99"/>
    <w:unhideWhenUsed/>
    <w:pPr>
      <w:pBdr/>
      <w:spacing w:after="0" w:afterAutospacing="0"/>
      <w:ind/>
    </w:pPr>
  </w:style>
  <w:style w:type="paragraph" w:styleId="910" w:default="1">
    <w:name w:val="Normal"/>
    <w:next w:val="910"/>
    <w:link w:val="910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911">
    <w:name w:val="Основной шрифт абзаца"/>
    <w:next w:val="911"/>
    <w:link w:val="910"/>
    <w:semiHidden/>
    <w:pPr>
      <w:pBdr/>
      <w:spacing/>
      <w:ind/>
    </w:pPr>
  </w:style>
  <w:style w:type="table" w:styleId="912">
    <w:name w:val="Обычная таблица"/>
    <w:next w:val="912"/>
    <w:link w:val="91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3">
    <w:name w:val="Нет списка"/>
    <w:next w:val="913"/>
    <w:link w:val="910"/>
    <w:uiPriority w:val="99"/>
    <w:semiHidden/>
    <w:pPr>
      <w:pBdr/>
      <w:spacing/>
      <w:ind/>
    </w:pPr>
  </w:style>
  <w:style w:type="paragraph" w:styleId="914">
    <w:name w:val="Текст выноски"/>
    <w:basedOn w:val="910"/>
    <w:next w:val="914"/>
    <w:link w:val="915"/>
    <w:pPr>
      <w:pBdr/>
      <w:spacing/>
      <w:ind/>
    </w:pPr>
    <w:rPr>
      <w:rFonts w:ascii="Tahoma" w:hAnsi="Tahoma"/>
      <w:sz w:val="16"/>
      <w:szCs w:val="16"/>
      <w:lang w:val="en-US" w:eastAsia="en-US"/>
    </w:rPr>
  </w:style>
  <w:style w:type="character" w:styleId="915">
    <w:name w:val="Текст выноски Знак"/>
    <w:next w:val="915"/>
    <w:link w:val="914"/>
    <w:pPr>
      <w:pBdr/>
      <w:spacing/>
      <w:ind/>
    </w:pPr>
    <w:rPr>
      <w:rFonts w:ascii="Tahoma" w:hAnsi="Tahoma" w:cs="Tahoma"/>
      <w:sz w:val="16"/>
      <w:szCs w:val="16"/>
    </w:rPr>
  </w:style>
  <w:style w:type="paragraph" w:styleId="916">
    <w:name w:val="ConsPlusNormal"/>
    <w:next w:val="916"/>
    <w:link w:val="910"/>
    <w:qFormat/>
    <w:pPr>
      <w:widowControl w:val="false"/>
      <w:pBdr/>
      <w:spacing/>
      <w:ind/>
    </w:pPr>
    <w:rPr>
      <w:rFonts w:ascii="Arial" w:hAnsi="Arial" w:cs="Arial"/>
      <w:lang w:val="ru-RU" w:eastAsia="ru-RU" w:bidi="ar-SA"/>
    </w:rPr>
  </w:style>
  <w:style w:type="paragraph" w:styleId="917">
    <w:name w:val="Абзац списка"/>
    <w:basedOn w:val="910"/>
    <w:next w:val="917"/>
    <w:link w:val="910"/>
    <w:uiPriority w:val="34"/>
    <w:qFormat/>
    <w:pPr>
      <w:pBdr/>
      <w:spacing/>
      <w:ind w:left="720"/>
      <w:contextualSpacing w:val="true"/>
    </w:pPr>
  </w:style>
  <w:style w:type="paragraph" w:styleId="918">
    <w:name w:val="Обычный (веб)"/>
    <w:basedOn w:val="910"/>
    <w:next w:val="918"/>
    <w:link w:val="910"/>
    <w:uiPriority w:val="99"/>
    <w:unhideWhenUsed/>
    <w:pPr>
      <w:pBdr/>
      <w:spacing w:after="100" w:afterAutospacing="1" w:before="100" w:beforeAutospacing="1"/>
      <w:ind/>
    </w:pPr>
  </w:style>
  <w:style w:type="paragraph" w:styleId="919">
    <w:name w:val="ConsPlusNonformat"/>
    <w:next w:val="919"/>
    <w:link w:val="910"/>
    <w:uiPriority w:val="99"/>
    <w:pPr>
      <w:pBdr/>
      <w:spacing/>
      <w:ind/>
    </w:pPr>
    <w:rPr>
      <w:rFonts w:ascii="Courier New" w:hAnsi="Courier New" w:cs="Courier New"/>
      <w:lang w:val="ru-RU" w:eastAsia="ru-RU" w:bidi="ar-SA"/>
    </w:rPr>
  </w:style>
  <w:style w:type="paragraph" w:styleId="920">
    <w:name w:val="ConsPlusTitle"/>
    <w:next w:val="920"/>
    <w:link w:val="910"/>
    <w:pPr>
      <w:pBdr/>
      <w:spacing/>
      <w:ind/>
    </w:pPr>
    <w:rPr>
      <w:b/>
      <w:bCs/>
      <w:sz w:val="28"/>
      <w:szCs w:val="28"/>
      <w:lang w:val="ru-RU" w:eastAsia="ru-RU" w:bidi="ar-SA"/>
    </w:rPr>
  </w:style>
  <w:style w:type="paragraph" w:styleId="921">
    <w:name w:val="ConsPlusCell"/>
    <w:next w:val="921"/>
    <w:link w:val="910"/>
    <w:qFormat/>
    <w:pPr>
      <w:pBdr/>
      <w:spacing/>
      <w:ind/>
    </w:pPr>
    <w:rPr>
      <w:rFonts w:ascii="Courier New" w:hAnsi="Courier New" w:cs="Courier New"/>
      <w:lang w:val="ru-RU" w:eastAsia="ru-RU" w:bidi="ar-SA"/>
    </w:rPr>
  </w:style>
  <w:style w:type="paragraph" w:styleId="922">
    <w:name w:val="ConsPlusDocList"/>
    <w:next w:val="922"/>
    <w:link w:val="910"/>
    <w:uiPriority w:val="99"/>
    <w:pPr>
      <w:pBdr/>
      <w:spacing/>
      <w:ind/>
    </w:pPr>
    <w:rPr>
      <w:rFonts w:ascii="Courier New" w:hAnsi="Courier New" w:cs="Courier New"/>
      <w:lang w:val="ru-RU" w:eastAsia="ru-RU" w:bidi="ar-SA"/>
    </w:rPr>
  </w:style>
  <w:style w:type="paragraph" w:styleId="923">
    <w:name w:val="ConsPlusTitlePage"/>
    <w:next w:val="923"/>
    <w:link w:val="910"/>
    <w:uiPriority w:val="99"/>
    <w:pPr>
      <w:pBdr/>
      <w:spacing/>
      <w:ind/>
    </w:pPr>
    <w:rPr>
      <w:rFonts w:ascii="Tahoma" w:hAnsi="Tahoma" w:cs="Tahoma"/>
      <w:sz w:val="28"/>
      <w:szCs w:val="28"/>
      <w:lang w:val="ru-RU" w:eastAsia="ru-RU" w:bidi="ar-SA"/>
    </w:rPr>
  </w:style>
  <w:style w:type="paragraph" w:styleId="924">
    <w:name w:val="ConsPlusJurTerm"/>
    <w:next w:val="924"/>
    <w:link w:val="910"/>
    <w:uiPriority w:val="99"/>
    <w:pPr>
      <w:pBdr/>
      <w:spacing/>
      <w:ind/>
    </w:pPr>
    <w:rPr>
      <w:rFonts w:ascii="Tahoma" w:hAnsi="Tahoma" w:cs="Tahoma"/>
      <w:sz w:val="26"/>
      <w:szCs w:val="26"/>
      <w:lang w:val="ru-RU" w:eastAsia="ru-RU" w:bidi="ar-SA"/>
    </w:rPr>
  </w:style>
  <w:style w:type="character" w:styleId="925">
    <w:name w:val="Номер строки"/>
    <w:next w:val="925"/>
    <w:link w:val="910"/>
    <w:pPr>
      <w:pBdr/>
      <w:spacing/>
      <w:ind/>
    </w:pPr>
  </w:style>
  <w:style w:type="paragraph" w:styleId="926">
    <w:name w:val="Верхний колонтитул"/>
    <w:basedOn w:val="910"/>
    <w:next w:val="926"/>
    <w:link w:val="927"/>
    <w:uiPriority w:val="99"/>
    <w:pPr>
      <w:pBdr/>
      <w:tabs>
        <w:tab w:val="center" w:leader="none" w:pos="4677"/>
        <w:tab w:val="right" w:leader="none" w:pos="9355"/>
      </w:tabs>
      <w:spacing/>
      <w:ind/>
    </w:pPr>
    <w:rPr>
      <w:lang w:val="en-US" w:eastAsia="en-US"/>
    </w:rPr>
  </w:style>
  <w:style w:type="character" w:styleId="927">
    <w:name w:val="Верхний колонтитул Знак"/>
    <w:next w:val="927"/>
    <w:link w:val="926"/>
    <w:uiPriority w:val="99"/>
    <w:pPr>
      <w:pBdr/>
      <w:spacing/>
      <w:ind/>
    </w:pPr>
    <w:rPr>
      <w:sz w:val="24"/>
      <w:szCs w:val="24"/>
    </w:rPr>
  </w:style>
  <w:style w:type="paragraph" w:styleId="928">
    <w:name w:val="Нижний колонтитул"/>
    <w:basedOn w:val="910"/>
    <w:next w:val="928"/>
    <w:link w:val="929"/>
    <w:pPr>
      <w:pBdr/>
      <w:tabs>
        <w:tab w:val="center" w:leader="none" w:pos="4677"/>
        <w:tab w:val="right" w:leader="none" w:pos="9355"/>
      </w:tabs>
      <w:spacing/>
      <w:ind/>
    </w:pPr>
    <w:rPr>
      <w:lang w:val="en-US" w:eastAsia="en-US"/>
    </w:rPr>
  </w:style>
  <w:style w:type="character" w:styleId="929">
    <w:name w:val="Нижний колонтитул Знак"/>
    <w:next w:val="929"/>
    <w:link w:val="928"/>
    <w:pPr>
      <w:pBdr/>
      <w:spacing/>
      <w:ind/>
    </w:pPr>
    <w:rPr>
      <w:sz w:val="24"/>
      <w:szCs w:val="24"/>
    </w:rPr>
  </w:style>
  <w:style w:type="paragraph" w:styleId="930">
    <w:name w:val="Без интервала"/>
    <w:next w:val="930"/>
    <w:link w:val="910"/>
    <w:uiPriority w:val="1"/>
    <w:qFormat/>
    <w:pPr>
      <w:pBdr/>
      <w:spacing/>
      <w:ind/>
    </w:pPr>
    <w:rPr>
      <w:rFonts w:ascii="Calibri" w:hAnsi="Calibri" w:eastAsia="Calibri"/>
      <w:sz w:val="22"/>
      <w:szCs w:val="22"/>
      <w:lang w:val="ru-RU" w:eastAsia="en-US" w:bidi="ar-SA"/>
    </w:rPr>
  </w:style>
  <w:style w:type="table" w:styleId="931">
    <w:name w:val="Сетка таблицы"/>
    <w:basedOn w:val="912"/>
    <w:next w:val="931"/>
    <w:link w:val="910"/>
    <w:uiPriority w:val="59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2">
    <w:name w:val="Гиперссылка"/>
    <w:next w:val="932"/>
    <w:link w:val="910"/>
    <w:uiPriority w:val="99"/>
    <w:unhideWhenUsed/>
    <w:pPr>
      <w:pBdr/>
      <w:spacing/>
      <w:ind/>
    </w:pPr>
    <w:rPr>
      <w:color w:val="0000ff"/>
      <w:u w:val="single"/>
    </w:rPr>
  </w:style>
  <w:style w:type="character" w:styleId="933">
    <w:name w:val="Строгий"/>
    <w:next w:val="933"/>
    <w:link w:val="910"/>
    <w:uiPriority w:val="22"/>
    <w:qFormat/>
    <w:pPr>
      <w:pBdr/>
      <w:spacing/>
      <w:ind/>
    </w:pPr>
    <w:rPr>
      <w:b/>
      <w:bCs/>
    </w:rPr>
  </w:style>
  <w:style w:type="paragraph" w:styleId="934">
    <w:name w:val="Абзац списка1"/>
    <w:basedOn w:val="910"/>
    <w:next w:val="934"/>
    <w:link w:val="910"/>
    <w:uiPriority w:val="99"/>
    <w:pPr>
      <w:pBdr/>
      <w:spacing/>
      <w:ind w:left="720"/>
    </w:pPr>
    <w:rPr>
      <w:rFonts w:ascii="Calibri" w:hAnsi="Calibri" w:eastAsia="Calibri" w:cs="Calibri"/>
      <w:lang w:eastAsia="en-US"/>
    </w:rPr>
  </w:style>
  <w:style w:type="paragraph" w:styleId="935">
    <w:name w:val="Без интервала2"/>
    <w:next w:val="935"/>
    <w:link w:val="910"/>
    <w:uiPriority w:val="99"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paragraph" w:styleId="936">
    <w:name w:val=" Знак Знак4 Знак Знак"/>
    <w:basedOn w:val="910"/>
    <w:next w:val="936"/>
    <w:link w:val="910"/>
    <w:pPr>
      <w:pBdr/>
      <w:spacing w:after="160" w:line="240" w:lineRule="exact"/>
      <w:ind/>
    </w:pPr>
    <w:rPr>
      <w:rFonts w:ascii="Verdana" w:hAnsi="Verdana"/>
      <w:lang w:val="en-US" w:eastAsia="en-US"/>
    </w:rPr>
  </w:style>
  <w:style w:type="character" w:styleId="937">
    <w:name w:val="markedcontent"/>
    <w:next w:val="937"/>
    <w:link w:val="910"/>
    <w:pPr>
      <w:pBdr/>
      <w:spacing/>
      <w:ind/>
    </w:pPr>
  </w:style>
  <w:style w:type="character" w:styleId="938">
    <w:name w:val="Номер страницы"/>
    <w:next w:val="938"/>
    <w:link w:val="910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wmf"/><Relationship Id="rId10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Krokoz™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ТУЛЬСКОЙ ОБЛАСТИ</dc:title>
  <dc:creator>Maksim.Shishkin</dc:creator>
  <cp:revision>5</cp:revision>
  <dcterms:created xsi:type="dcterms:W3CDTF">2026-04-28T12:33:00Z</dcterms:created>
  <dcterms:modified xsi:type="dcterms:W3CDTF">2026-07-03T09:04:30Z</dcterms:modified>
  <cp:version>983040</cp:version>
</cp:coreProperties>
</file>