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77720AA"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A195D">
        <w:rPr>
          <w:sz w:val="28"/>
          <w:szCs w:val="28"/>
        </w:rPr>
        <w:t>6</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54A1EC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A195D">
        <w:rPr>
          <w:rFonts w:ascii="Times New Roman" w:hAnsi="Times New Roman" w:cs="Times New Roman"/>
          <w:sz w:val="28"/>
          <w:szCs w:val="28"/>
        </w:rPr>
        <w:t>6</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C05355">
        <w:rPr>
          <w:rFonts w:ascii="Times New Roman" w:hAnsi="Times New Roman" w:cs="Times New Roman"/>
          <w:sz w:val="28"/>
          <w:szCs w:val="28"/>
        </w:rPr>
        <w:t>4</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4F859FC"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C05355">
        <w:rPr>
          <w:rFonts w:ascii="Times New Roman" w:hAnsi="Times New Roman" w:cs="Times New Roman"/>
          <w:sz w:val="28"/>
          <w:szCs w:val="28"/>
        </w:rPr>
        <w:t>4</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73A8249A" w:rsidR="00600F6C" w:rsidRPr="001A476F" w:rsidRDefault="00140F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62681D">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426B01F" w:rsidR="00600F6C" w:rsidRPr="001A476F" w:rsidRDefault="00140F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13</w:t>
      </w:r>
      <w:r w:rsidR="0062681D">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C945D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F2873">
        <w:rPr>
          <w:rFonts w:ascii="Times New Roman" w:hAnsi="Times New Roman" w:cs="Times New Roman"/>
          <w:sz w:val="28"/>
          <w:szCs w:val="28"/>
        </w:rPr>
        <w:t>0</w:t>
      </w:r>
      <w:r w:rsidR="009A58B4">
        <w:rPr>
          <w:rFonts w:ascii="Times New Roman" w:hAnsi="Times New Roman" w:cs="Times New Roman"/>
          <w:sz w:val="28"/>
          <w:szCs w:val="28"/>
        </w:rPr>
        <w:t>4</w:t>
      </w:r>
      <w:r w:rsidR="00FF2873">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32BBB979" w:rsidR="00600F6C" w:rsidRPr="001A476F" w:rsidRDefault="00FF2873"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w:t>
      </w:r>
      <w:r w:rsidR="009A58B4">
        <w:rPr>
          <w:rFonts w:ascii="Times New Roman" w:hAnsi="Times New Roman" w:cs="Times New Roman"/>
          <w:sz w:val="28"/>
          <w:szCs w:val="28"/>
        </w:rPr>
        <w:t>4</w:t>
      </w:r>
      <w:r>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4A9C1E7" w:rsidR="00EB0DDD" w:rsidRDefault="00EB0DDD" w:rsidP="00EB0DDD">
      <w:pPr>
        <w:jc w:val="center"/>
        <w:rPr>
          <w:sz w:val="28"/>
          <w:szCs w:val="28"/>
        </w:rPr>
      </w:pPr>
      <w:r>
        <w:rPr>
          <w:sz w:val="28"/>
          <w:szCs w:val="28"/>
        </w:rPr>
        <w:t>Табл</w:t>
      </w:r>
      <w:r w:rsidR="00242F6F">
        <w:rPr>
          <w:sz w:val="28"/>
          <w:szCs w:val="28"/>
        </w:rPr>
        <w:t>и</w:t>
      </w:r>
      <w:r w:rsidR="00FF2873">
        <w:rPr>
          <w:sz w:val="28"/>
          <w:szCs w:val="28"/>
        </w:rPr>
        <w:t xml:space="preserve">ца лотов открытого аукциона № </w:t>
      </w:r>
      <w:r w:rsidR="009A58B4">
        <w:rPr>
          <w:sz w:val="28"/>
          <w:szCs w:val="28"/>
        </w:rPr>
        <w:t>6</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1D157C87" w:rsidR="00EB0DDD" w:rsidRDefault="009A58B4" w:rsidP="00EB0DDD">
            <w:pPr>
              <w:spacing w:line="276" w:lineRule="auto"/>
              <w:jc w:val="center"/>
              <w:rPr>
                <w:sz w:val="28"/>
                <w:szCs w:val="28"/>
                <w:lang w:eastAsia="en-US"/>
              </w:rPr>
            </w:pPr>
            <w:r>
              <w:rPr>
                <w:sz w:val="28"/>
                <w:szCs w:val="28"/>
                <w:lang w:eastAsia="en-US"/>
              </w:rPr>
              <w:t>месяцы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51CBD42C" w14:textId="09DCB01D" w:rsidR="009A58B4" w:rsidRDefault="009A58B4" w:rsidP="009A58B4">
            <w:pPr>
              <w:spacing w:line="276" w:lineRule="auto"/>
              <w:jc w:val="center"/>
              <w:rPr>
                <w:sz w:val="28"/>
                <w:szCs w:val="28"/>
                <w:lang w:eastAsia="en-US"/>
              </w:rPr>
            </w:pPr>
            <w:r>
              <w:rPr>
                <w:sz w:val="28"/>
                <w:szCs w:val="28"/>
                <w:lang w:eastAsia="en-US"/>
              </w:rPr>
              <w:t>Лоты №№ 1, 3-4 –10%, но не менее 50000 (пятидесяти тысяч) рублей, от начальной цены (в случае если начальн</w:t>
            </w:r>
            <w:r>
              <w:rPr>
                <w:sz w:val="28"/>
                <w:szCs w:val="28"/>
                <w:lang w:eastAsia="en-US"/>
              </w:rPr>
              <w:lastRenderedPageBreak/>
              <w:t>ая цена превышает 50 000 рублей)</w:t>
            </w:r>
          </w:p>
          <w:p w14:paraId="0959A103" w14:textId="7B7BD0F6" w:rsidR="00372140" w:rsidRDefault="009A58B4" w:rsidP="009A58B4">
            <w:pPr>
              <w:spacing w:line="276" w:lineRule="auto"/>
              <w:jc w:val="center"/>
              <w:rPr>
                <w:sz w:val="28"/>
                <w:szCs w:val="28"/>
                <w:lang w:eastAsia="en-US"/>
              </w:rPr>
            </w:pPr>
            <w:r>
              <w:rPr>
                <w:sz w:val="28"/>
                <w:szCs w:val="28"/>
                <w:lang w:eastAsia="en-US"/>
              </w:rPr>
              <w:t xml:space="preserve">Лот № 2 - </w:t>
            </w:r>
            <w:r w:rsidR="0028553E">
              <w:rPr>
                <w:sz w:val="28"/>
                <w:szCs w:val="28"/>
                <w:lang w:eastAsia="en-US"/>
              </w:rPr>
              <w:t>10</w:t>
            </w:r>
            <w:r w:rsidR="00102EF2">
              <w:rPr>
                <w:sz w:val="28"/>
                <w:szCs w:val="28"/>
                <w:lang w:eastAsia="en-US"/>
              </w:rPr>
              <w:t>0% -</w:t>
            </w:r>
            <w:r w:rsidR="0028553E">
              <w:rPr>
                <w:sz w:val="28"/>
                <w:szCs w:val="28"/>
                <w:lang w:eastAsia="en-US"/>
              </w:rPr>
              <w:t xml:space="preserve">от начальной цены </w:t>
            </w:r>
            <w:r w:rsidR="00102EF2">
              <w:rPr>
                <w:sz w:val="28"/>
                <w:szCs w:val="28"/>
                <w:lang w:eastAsia="en-US"/>
              </w:rPr>
              <w:t>(</w:t>
            </w:r>
            <w:r>
              <w:rPr>
                <w:sz w:val="28"/>
                <w:szCs w:val="28"/>
                <w:lang w:eastAsia="en-US"/>
              </w:rPr>
              <w:t>в случае если начальная цена равна или составляет менее 50 000 (пятидесяти тысяч) рублей</w:t>
            </w:r>
            <w:r w:rsidR="00102EF2">
              <w:rPr>
                <w:sz w:val="28"/>
                <w:szCs w:val="28"/>
                <w:lang w:eastAsia="en-US"/>
              </w:rPr>
              <w:t>)</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533F87" w14:paraId="3CDE4C41" w14:textId="77777777" w:rsidTr="00533F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470AB10" w:rsidR="00533F87" w:rsidRDefault="007A73E3"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7B014C4E" w:rsidR="00533F87" w:rsidRDefault="007A73E3" w:rsidP="00533F87">
            <w:pPr>
              <w:spacing w:line="276" w:lineRule="auto"/>
              <w:jc w:val="center"/>
              <w:rPr>
                <w:color w:val="0D0D0D"/>
                <w:sz w:val="28"/>
                <w:szCs w:val="28"/>
                <w:lang w:eastAsia="en-US"/>
              </w:rPr>
            </w:pPr>
            <w:r>
              <w:rPr>
                <w:color w:val="0D0D0D"/>
                <w:sz w:val="28"/>
                <w:szCs w:val="28"/>
                <w:lang w:eastAsia="en-US"/>
              </w:rPr>
              <w:t xml:space="preserve">Павильон </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33E2591" w:rsidR="00533F87" w:rsidRDefault="007A73E3" w:rsidP="00533F87">
            <w:pPr>
              <w:spacing w:line="276" w:lineRule="auto"/>
              <w:jc w:val="center"/>
              <w:rPr>
                <w:color w:val="0D0D0D"/>
                <w:sz w:val="28"/>
                <w:szCs w:val="28"/>
                <w:lang w:eastAsia="en-US"/>
              </w:rPr>
            </w:pPr>
            <w:r>
              <w:rPr>
                <w:color w:val="0D0D0D"/>
                <w:sz w:val="28"/>
                <w:szCs w:val="28"/>
                <w:lang w:eastAsia="en-US"/>
              </w:rPr>
              <w:t xml:space="preserve">Цветы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76A7C76C" w:rsidR="00533F87" w:rsidRPr="00532238" w:rsidRDefault="007A73E3" w:rsidP="00533F87">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3A8FCADB" w:rsidR="00533F87" w:rsidRDefault="007A73E3" w:rsidP="00533F8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1DA8FF92" w:rsidR="00533F87" w:rsidRDefault="007A73E3" w:rsidP="00533F87">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1BE1B625" w:rsidR="00533F87" w:rsidRDefault="007A73E3" w:rsidP="00533F87">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FAB64D1" w:rsidR="00533F87" w:rsidRDefault="007A73E3" w:rsidP="00533F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5C553F73" w:rsidR="00533F87" w:rsidRDefault="00533F87" w:rsidP="00533F87">
            <w:pPr>
              <w:spacing w:line="276" w:lineRule="auto"/>
              <w:jc w:val="center"/>
              <w:rPr>
                <w:color w:val="0D0D0D"/>
                <w:sz w:val="28"/>
                <w:szCs w:val="28"/>
                <w:lang w:eastAsia="en-US"/>
              </w:rPr>
            </w:pPr>
            <w:r>
              <w:rPr>
                <w:color w:val="0D0D0D"/>
                <w:sz w:val="28"/>
                <w:szCs w:val="28"/>
                <w:lang w:eastAsia="en-US"/>
              </w:rPr>
              <w:t>+</w:t>
            </w:r>
          </w:p>
        </w:tc>
      </w:tr>
      <w:tr w:rsidR="00533F87"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2F8A67BD" w:rsidR="00533F87" w:rsidRDefault="007A73E3" w:rsidP="00533F87">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166508ED" w:rsidR="00533F87" w:rsidRDefault="007A73E3" w:rsidP="00533F87">
            <w:pPr>
              <w:spacing w:line="276" w:lineRule="auto"/>
              <w:jc w:val="center"/>
              <w:rPr>
                <w:color w:val="0D0D0D"/>
                <w:sz w:val="28"/>
                <w:szCs w:val="28"/>
                <w:lang w:eastAsia="en-US"/>
              </w:rPr>
            </w:pPr>
            <w:r>
              <w:rPr>
                <w:color w:val="0D0D0D"/>
                <w:sz w:val="28"/>
                <w:szCs w:val="28"/>
                <w:lang w:eastAsia="en-US"/>
              </w:rPr>
              <w:t xml:space="preserve">Киоск </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77687216" w:rsidR="00533F87" w:rsidRDefault="007A73E3" w:rsidP="00533F87">
            <w:pPr>
              <w:spacing w:line="276" w:lineRule="auto"/>
              <w:jc w:val="center"/>
              <w:rPr>
                <w:color w:val="0D0D0D"/>
                <w:sz w:val="28"/>
                <w:szCs w:val="28"/>
                <w:lang w:eastAsia="en-US"/>
              </w:rPr>
            </w:pPr>
            <w:r>
              <w:rPr>
                <w:color w:val="0D0D0D"/>
                <w:sz w:val="28"/>
                <w:szCs w:val="28"/>
                <w:lang w:eastAsia="en-US"/>
              </w:rPr>
              <w:t>Молоко и молочные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E727073" w:rsidR="00533F87" w:rsidRDefault="007A73E3" w:rsidP="00533F87">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1922D305" w:rsidR="00533F87" w:rsidRDefault="007A73E3" w:rsidP="00533F87">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17646DB7" w:rsidR="00533F87" w:rsidRDefault="007A73E3" w:rsidP="00533F87">
            <w:pPr>
              <w:spacing w:line="276" w:lineRule="auto"/>
              <w:jc w:val="center"/>
              <w:rPr>
                <w:sz w:val="28"/>
                <w:szCs w:val="28"/>
                <w:lang w:eastAsia="en-US"/>
              </w:rPr>
            </w:pPr>
            <w:r>
              <w:rPr>
                <w:sz w:val="28"/>
                <w:szCs w:val="28"/>
                <w:lang w:eastAsia="en-US"/>
              </w:rPr>
              <w:t>42 997</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77BBE987" w:rsidR="00533F87" w:rsidRDefault="007A73E3" w:rsidP="00533F87">
            <w:pPr>
              <w:spacing w:line="276" w:lineRule="auto"/>
              <w:jc w:val="center"/>
              <w:rPr>
                <w:sz w:val="28"/>
                <w:szCs w:val="28"/>
                <w:lang w:eastAsia="en-US"/>
              </w:rPr>
            </w:pPr>
            <w:r>
              <w:rPr>
                <w:sz w:val="28"/>
                <w:szCs w:val="28"/>
                <w:lang w:eastAsia="en-US"/>
              </w:rPr>
              <w:t>2 150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65B5120F" w:rsidR="00533F87" w:rsidRDefault="007A73E3" w:rsidP="00533F87">
            <w:pPr>
              <w:spacing w:line="276" w:lineRule="auto"/>
              <w:jc w:val="center"/>
              <w:rPr>
                <w:sz w:val="28"/>
                <w:szCs w:val="28"/>
                <w:lang w:eastAsia="en-US"/>
              </w:rPr>
            </w:pPr>
            <w:r>
              <w:rPr>
                <w:sz w:val="28"/>
                <w:szCs w:val="28"/>
                <w:lang w:eastAsia="en-US"/>
              </w:rPr>
              <w:t>42 997</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9A7633B" w:rsidR="00533F87" w:rsidRPr="00B60D1C" w:rsidRDefault="00533F87" w:rsidP="00533F87">
            <w:pPr>
              <w:spacing w:line="276" w:lineRule="auto"/>
              <w:jc w:val="center"/>
              <w:rPr>
                <w:color w:val="0D0D0D"/>
                <w:sz w:val="28"/>
                <w:szCs w:val="28"/>
                <w:lang w:eastAsia="en-US"/>
              </w:rPr>
            </w:pPr>
            <w:r>
              <w:rPr>
                <w:sz w:val="28"/>
                <w:szCs w:val="28"/>
                <w:lang w:eastAsia="en-US"/>
              </w:rPr>
              <w:t>+</w:t>
            </w:r>
          </w:p>
        </w:tc>
      </w:tr>
      <w:tr w:rsidR="00533F87"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13AF2015" w:rsidR="00533F87" w:rsidRDefault="007A73E3" w:rsidP="00533F87">
            <w:pPr>
              <w:spacing w:line="276" w:lineRule="auto"/>
              <w:jc w:val="center"/>
              <w:rPr>
                <w:color w:val="0D0D0D"/>
                <w:sz w:val="28"/>
                <w:szCs w:val="28"/>
                <w:lang w:eastAsia="en-US"/>
              </w:rPr>
            </w:pPr>
            <w:r>
              <w:rPr>
                <w:color w:val="0D0D0D"/>
                <w:sz w:val="28"/>
                <w:szCs w:val="28"/>
                <w:lang w:eastAsia="en-US"/>
              </w:rPr>
              <w:t>Зареченский территориальный округ, ул. Токарева, д. 89</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083110AA" w:rsidR="00533F87" w:rsidRDefault="007A73E3" w:rsidP="00533F87">
            <w:pPr>
              <w:spacing w:line="276" w:lineRule="auto"/>
              <w:jc w:val="center"/>
              <w:rPr>
                <w:color w:val="0D0D0D"/>
                <w:sz w:val="28"/>
                <w:szCs w:val="28"/>
                <w:lang w:eastAsia="en-US"/>
              </w:rPr>
            </w:pPr>
            <w:r>
              <w:rPr>
                <w:color w:val="0D0D0D"/>
                <w:sz w:val="28"/>
                <w:szCs w:val="28"/>
                <w:lang w:eastAsia="en-US"/>
              </w:rPr>
              <w:t xml:space="preserve">Киоск </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7CC23E3C" w:rsidR="00533F87" w:rsidRDefault="007A73E3" w:rsidP="00533F87">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06014532" w:rsidR="00533F87" w:rsidRDefault="007A73E3" w:rsidP="00533F87">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367A5474" w:rsidR="00533F87" w:rsidRDefault="007A73E3" w:rsidP="00533F87">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1BB5723C" w:rsidR="00533F87" w:rsidRDefault="007A73E3" w:rsidP="00533F87">
            <w:pPr>
              <w:spacing w:line="276" w:lineRule="auto"/>
              <w:jc w:val="center"/>
              <w:rPr>
                <w:sz w:val="28"/>
                <w:szCs w:val="28"/>
                <w:lang w:eastAsia="en-US"/>
              </w:rPr>
            </w:pPr>
            <w:r>
              <w:rPr>
                <w:sz w:val="28"/>
                <w:szCs w:val="28"/>
                <w:lang w:eastAsia="en-US"/>
              </w:rPr>
              <w:t>374 430</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34BF3678" w:rsidR="00533F87" w:rsidRDefault="007A73E3" w:rsidP="00533F87">
            <w:pPr>
              <w:spacing w:line="276" w:lineRule="auto"/>
              <w:jc w:val="center"/>
              <w:rPr>
                <w:sz w:val="28"/>
                <w:szCs w:val="28"/>
                <w:lang w:eastAsia="en-US"/>
              </w:rPr>
            </w:pPr>
            <w:r>
              <w:rPr>
                <w:sz w:val="28"/>
                <w:szCs w:val="28"/>
                <w:lang w:eastAsia="en-US"/>
              </w:rPr>
              <w:t>18 721</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67027CD2" w:rsidR="00533F87" w:rsidRDefault="007A73E3" w:rsidP="00533F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72FBB812" w:rsidR="00533F87" w:rsidRPr="00B60D1C" w:rsidRDefault="00533F87" w:rsidP="00533F87">
            <w:pPr>
              <w:spacing w:line="276" w:lineRule="auto"/>
              <w:jc w:val="center"/>
              <w:rPr>
                <w:color w:val="0D0D0D"/>
                <w:sz w:val="28"/>
                <w:szCs w:val="28"/>
                <w:lang w:eastAsia="en-US"/>
              </w:rPr>
            </w:pPr>
            <w:r>
              <w:rPr>
                <w:color w:val="0D0D0D"/>
                <w:sz w:val="28"/>
                <w:szCs w:val="28"/>
                <w:lang w:eastAsia="en-US"/>
              </w:rPr>
              <w:t>+</w:t>
            </w:r>
          </w:p>
        </w:tc>
      </w:tr>
      <w:tr w:rsidR="00533F87" w14:paraId="4AD6B51D"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F739FD" w14:textId="77777777" w:rsidR="00533F87" w:rsidRDefault="00533F87" w:rsidP="00533F87">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7789B38" w14:textId="1615E945" w:rsidR="00533F87" w:rsidRDefault="007A73E3" w:rsidP="00533F87">
            <w:pPr>
              <w:spacing w:line="276" w:lineRule="auto"/>
              <w:jc w:val="center"/>
              <w:rPr>
                <w:color w:val="0D0D0D"/>
                <w:sz w:val="28"/>
                <w:szCs w:val="28"/>
                <w:lang w:eastAsia="en-US"/>
              </w:rPr>
            </w:pPr>
            <w:r>
              <w:rPr>
                <w:color w:val="0D0D0D"/>
                <w:sz w:val="28"/>
                <w:szCs w:val="28"/>
                <w:lang w:eastAsia="en-US"/>
              </w:rPr>
              <w:t>Привокзальный территориальный округ, Орловское шоссе, напротив д. 58</w:t>
            </w:r>
          </w:p>
        </w:tc>
        <w:tc>
          <w:tcPr>
            <w:tcW w:w="1984" w:type="dxa"/>
            <w:tcBorders>
              <w:top w:val="single" w:sz="4" w:space="0" w:color="000000"/>
              <w:left w:val="single" w:sz="4" w:space="0" w:color="000000"/>
              <w:bottom w:val="single" w:sz="4" w:space="0" w:color="000000"/>
              <w:right w:val="single" w:sz="4" w:space="0" w:color="000000"/>
            </w:tcBorders>
            <w:vAlign w:val="center"/>
          </w:tcPr>
          <w:p w14:paraId="38E773EF" w14:textId="7C86E294" w:rsidR="00533F87" w:rsidRDefault="007A73E3" w:rsidP="00533F87">
            <w:pPr>
              <w:spacing w:line="276" w:lineRule="auto"/>
              <w:jc w:val="center"/>
              <w:rPr>
                <w:color w:val="0D0D0D"/>
                <w:sz w:val="28"/>
                <w:szCs w:val="28"/>
                <w:lang w:eastAsia="en-US"/>
              </w:rPr>
            </w:pPr>
            <w:r>
              <w:rPr>
                <w:color w:val="0D0D0D"/>
                <w:sz w:val="28"/>
                <w:szCs w:val="28"/>
                <w:lang w:eastAsia="en-US"/>
              </w:rPr>
              <w:t xml:space="preserve">Павильон </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76155" w14:textId="697A4039" w:rsidR="00533F87" w:rsidRDefault="007A73E3" w:rsidP="00533F87">
            <w:pPr>
              <w:spacing w:line="276" w:lineRule="auto"/>
              <w:jc w:val="center"/>
              <w:rPr>
                <w:color w:val="0D0D0D"/>
                <w:sz w:val="28"/>
                <w:szCs w:val="28"/>
                <w:lang w:eastAsia="en-US"/>
              </w:rPr>
            </w:pPr>
            <w:r>
              <w:rPr>
                <w:color w:val="0D0D0D"/>
                <w:sz w:val="28"/>
                <w:szCs w:val="28"/>
                <w:lang w:eastAsia="en-US"/>
              </w:rPr>
              <w:t>Промышленные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B4A0" w14:textId="630E47E1" w:rsidR="00533F87" w:rsidRDefault="007A73E3" w:rsidP="00533F87">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3472130" w14:textId="395F8DCB" w:rsidR="00533F87" w:rsidRDefault="007A73E3" w:rsidP="00533F87">
            <w:pPr>
              <w:spacing w:line="276" w:lineRule="auto"/>
              <w:jc w:val="center"/>
              <w:rPr>
                <w:color w:val="0D0D0D"/>
                <w:sz w:val="28"/>
                <w:szCs w:val="28"/>
                <w:lang w:eastAsia="en-US"/>
              </w:rPr>
            </w:pPr>
            <w:r>
              <w:rPr>
                <w:color w:val="0D0D0D"/>
                <w:sz w:val="28"/>
                <w:szCs w:val="28"/>
                <w:lang w:eastAsia="en-US"/>
              </w:rPr>
              <w:t>60</w:t>
            </w:r>
          </w:p>
        </w:tc>
        <w:tc>
          <w:tcPr>
            <w:tcW w:w="1276" w:type="dxa"/>
            <w:tcBorders>
              <w:top w:val="single" w:sz="4" w:space="0" w:color="000000"/>
              <w:left w:val="single" w:sz="4" w:space="0" w:color="000000"/>
              <w:bottom w:val="single" w:sz="4" w:space="0" w:color="000000"/>
              <w:right w:val="single" w:sz="4" w:space="0" w:color="000000"/>
            </w:tcBorders>
            <w:vAlign w:val="center"/>
          </w:tcPr>
          <w:p w14:paraId="2AD0F7B8" w14:textId="44DB12D0" w:rsidR="00533F87" w:rsidRDefault="007A73E3" w:rsidP="00533F87">
            <w:pPr>
              <w:spacing w:line="276" w:lineRule="auto"/>
              <w:jc w:val="center"/>
              <w:rPr>
                <w:sz w:val="28"/>
                <w:szCs w:val="28"/>
                <w:lang w:eastAsia="en-US"/>
              </w:rPr>
            </w:pPr>
            <w:r>
              <w:rPr>
                <w:sz w:val="28"/>
                <w:szCs w:val="28"/>
                <w:lang w:eastAsia="en-US"/>
              </w:rPr>
              <w:t>308 154</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1A0C" w14:textId="41CC0DFB" w:rsidR="00533F87" w:rsidRDefault="007A73E3" w:rsidP="00533F87">
            <w:pPr>
              <w:spacing w:line="276" w:lineRule="auto"/>
              <w:jc w:val="center"/>
              <w:rPr>
                <w:sz w:val="28"/>
                <w:szCs w:val="28"/>
                <w:lang w:eastAsia="en-US"/>
              </w:rPr>
            </w:pPr>
            <w:r>
              <w:rPr>
                <w:sz w:val="28"/>
                <w:szCs w:val="28"/>
                <w:lang w:eastAsia="en-US"/>
              </w:rPr>
              <w:t>15 408</w:t>
            </w:r>
          </w:p>
        </w:tc>
        <w:tc>
          <w:tcPr>
            <w:tcW w:w="1276" w:type="dxa"/>
            <w:tcBorders>
              <w:top w:val="single" w:sz="4" w:space="0" w:color="000000"/>
              <w:left w:val="single" w:sz="4" w:space="0" w:color="000000"/>
              <w:bottom w:val="single" w:sz="4" w:space="0" w:color="000000"/>
              <w:right w:val="single" w:sz="4" w:space="0" w:color="000000"/>
            </w:tcBorders>
            <w:vAlign w:val="center"/>
          </w:tcPr>
          <w:p w14:paraId="24400DC9" w14:textId="118E0810" w:rsidR="00533F87" w:rsidRDefault="007A73E3" w:rsidP="00533F87">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85DA02D" w14:textId="33F1664A" w:rsidR="00533F87" w:rsidRPr="009C1FC5" w:rsidRDefault="00533F87" w:rsidP="00533F87">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06A1F314" w14:textId="0A3FA2D6" w:rsidR="008E5F5F" w:rsidRDefault="00F40AB5" w:rsidP="00DC1815">
      <w:pPr>
        <w:jc w:val="both"/>
        <w:rPr>
          <w:sz w:val="28"/>
          <w:szCs w:val="28"/>
        </w:rPr>
      </w:pPr>
      <w:r>
        <w:rPr>
          <w:sz w:val="28"/>
          <w:szCs w:val="28"/>
        </w:rPr>
        <w:t>Заместитель начальника</w:t>
      </w:r>
      <w:bookmarkStart w:id="7" w:name="_GoBack"/>
      <w:bookmarkEnd w:id="7"/>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53F22363"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E5F5F">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E0EE8" w14:textId="77777777" w:rsidR="00CE445D" w:rsidRDefault="00CE445D">
      <w:r>
        <w:separator/>
      </w:r>
    </w:p>
  </w:endnote>
  <w:endnote w:type="continuationSeparator" w:id="0">
    <w:p w14:paraId="5AFE97B6" w14:textId="77777777" w:rsidR="00CE445D" w:rsidRDefault="00CE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EA195D" w:rsidRDefault="00EA195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EA195D" w:rsidRDefault="00EA195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D0A4595" w:rsidR="00EA195D" w:rsidRDefault="00EA195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40AB5">
      <w:rPr>
        <w:rStyle w:val="a7"/>
        <w:noProof/>
      </w:rPr>
      <w:t>3</w:t>
    </w:r>
    <w:r>
      <w:rPr>
        <w:rStyle w:val="a7"/>
      </w:rPr>
      <w:fldChar w:fldCharType="end"/>
    </w:r>
  </w:p>
  <w:p w14:paraId="0F0E8141" w14:textId="77777777" w:rsidR="00EA195D" w:rsidRDefault="00EA195D" w:rsidP="00600F6C">
    <w:pPr>
      <w:pStyle w:val="a5"/>
      <w:ind w:right="360"/>
      <w:jc w:val="right"/>
    </w:pPr>
  </w:p>
  <w:p w14:paraId="3A81537C" w14:textId="77777777" w:rsidR="00EA195D" w:rsidRDefault="00EA195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EA195D" w:rsidRDefault="00EA195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EA195D" w:rsidRDefault="00EA195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5BB21AA0" w:rsidR="00EA195D" w:rsidRDefault="00EA195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40AB5">
      <w:rPr>
        <w:rStyle w:val="a7"/>
        <w:noProof/>
      </w:rPr>
      <w:t>20</w:t>
    </w:r>
    <w:r>
      <w:rPr>
        <w:rStyle w:val="a7"/>
      </w:rPr>
      <w:fldChar w:fldCharType="end"/>
    </w:r>
  </w:p>
  <w:p w14:paraId="75AF639C" w14:textId="77777777" w:rsidR="00EA195D" w:rsidRDefault="00EA195D" w:rsidP="00600F6C">
    <w:pPr>
      <w:pStyle w:val="a5"/>
      <w:ind w:right="360"/>
      <w:jc w:val="right"/>
    </w:pPr>
  </w:p>
  <w:p w14:paraId="648D50C1" w14:textId="77777777" w:rsidR="00EA195D" w:rsidRDefault="00EA19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3F7D7" w14:textId="77777777" w:rsidR="00CE445D" w:rsidRDefault="00CE445D">
      <w:r>
        <w:separator/>
      </w:r>
    </w:p>
  </w:footnote>
  <w:footnote w:type="continuationSeparator" w:id="0">
    <w:p w14:paraId="7C1D072A" w14:textId="77777777" w:rsidR="00CE445D" w:rsidRDefault="00CE4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45812"/>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0F1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23B"/>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4668"/>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1744A"/>
    <w:rsid w:val="005207FC"/>
    <w:rsid w:val="00521313"/>
    <w:rsid w:val="00523463"/>
    <w:rsid w:val="0052358C"/>
    <w:rsid w:val="0052399C"/>
    <w:rsid w:val="00524071"/>
    <w:rsid w:val="00524172"/>
    <w:rsid w:val="00527ED2"/>
    <w:rsid w:val="00530305"/>
    <w:rsid w:val="00532238"/>
    <w:rsid w:val="00533F87"/>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2F46"/>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681D"/>
    <w:rsid w:val="0062716B"/>
    <w:rsid w:val="00631477"/>
    <w:rsid w:val="00632491"/>
    <w:rsid w:val="00634451"/>
    <w:rsid w:val="006350DE"/>
    <w:rsid w:val="006365A3"/>
    <w:rsid w:val="00636CE9"/>
    <w:rsid w:val="00640551"/>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07596"/>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3E3"/>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141A"/>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5F5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58B4"/>
    <w:rsid w:val="009A65D7"/>
    <w:rsid w:val="009A6C4A"/>
    <w:rsid w:val="009B09F5"/>
    <w:rsid w:val="009B36DE"/>
    <w:rsid w:val="009B44EA"/>
    <w:rsid w:val="009B464A"/>
    <w:rsid w:val="009B4F73"/>
    <w:rsid w:val="009B5161"/>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D5DEC"/>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05355"/>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45D"/>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5005"/>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95D"/>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B5"/>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2873"/>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60A1C-D106-4826-8328-EDCB3332E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6866</TotalTime>
  <Pages>20</Pages>
  <Words>7403</Words>
  <Characters>42200</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370</cp:revision>
  <cp:lastPrinted>2024-03-14T12:00:00Z</cp:lastPrinted>
  <dcterms:created xsi:type="dcterms:W3CDTF">2019-12-19T09:02:00Z</dcterms:created>
  <dcterms:modified xsi:type="dcterms:W3CDTF">2025-03-11T07:27:00Z</dcterms:modified>
</cp:coreProperties>
</file>