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ind w:firstLine="709"/>
        <w:rPr>
          <w:rFonts w:ascii="PT Astra Serif" w:hAnsi="PT Astra Serif"/>
        </w:rPr>
      </w:pPr>
      <w:r>
        <w:rPr>
          <w:rFonts w:ascii="PT Astra Serif" w:hAnsi="PT Astra Serif"/>
        </w:rPr>
      </w:r>
    </w:p>
    <w:p>
      <w:pPr>
        <w:pStyle w:val="Normal"/>
        <w:ind w:right="57"/>
        <w:jc w:val="center"/>
        <w:rPr>
          <w:rFonts w:ascii="PT Astra Serif" w:hAnsi="PT Astra Serif"/>
        </w:rPr>
      </w:pPr>
      <w:r>
        <w:rPr>
          <w:rFonts w:ascii="PT Astra Serif" w:hAnsi="PT Astra Serif"/>
          <w:b/>
        </w:rPr>
        <w:t>Документация о проведении аукциона в электронной форме, открытого по составу участников и форме подачи предложений на право заключения договоров аренды недвижимого имущества с кадастровыми номерами 71:30:020621:8627, 71:30:050106:3309, 71:14:030810:488, находящегося в собственности муниципального образования город Тула</w:t>
      </w:r>
    </w:p>
    <w:p>
      <w:pPr>
        <w:pStyle w:val="Normal"/>
        <w:ind w:firstLine="709"/>
        <w:jc w:val="center"/>
        <w:rPr>
          <w:rFonts w:ascii="PT Astra Serif" w:hAnsi="PT Astra Serif"/>
          <w:b/>
        </w:rPr>
      </w:pPr>
      <w:r>
        <w:rPr>
          <w:rFonts w:ascii="PT Astra Serif" w:hAnsi="PT Astra Serif"/>
          <w:b/>
        </w:rPr>
      </w:r>
    </w:p>
    <w:p>
      <w:pPr>
        <w:pStyle w:val="Normal"/>
        <w:widowControl w:val="false"/>
        <w:ind w:firstLine="709"/>
        <w:jc w:val="both"/>
        <w:rPr>
          <w:rFonts w:ascii="PT Astra Serif" w:hAnsi="PT Astra Serif"/>
        </w:rPr>
      </w:pPr>
      <w:r>
        <w:rPr>
          <w:rFonts w:ascii="PT Astra Serif" w:hAnsi="PT Astra Serif"/>
        </w:rPr>
        <w:t xml:space="preserve">Настоящая документация подготовлена в соответствии с Гражданским кодексом Российской Федерации, Федеральным законом от 26.07.2006 № 135-ФЗ «О защите конкуренции», Приказом ФАС России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Решением Тульской городской Думы от 30.10.2024 № 2/28 «Об утверждении Положения о порядке передачи в аренду имущества, находящегося в собственности муниципального образования город Тула», , распоряжениями администрации города Тулы от 06.07.2026 № 1/5607-р </w:t>
        <w:br/>
        <w:t xml:space="preserve">«О передаче в аренду посредством проведения аукциона, открытого по составу участников </w:t>
        <w:br/>
        <w:t xml:space="preserve">и форме подачи предложений, нежилого помещения II с кадастровым номером 71:30:020621:8627, расположенного по адресу: Тульская область, г. Тула, Привокзальный район, ул. Макаренко, д. 19, корп. 2, нежилое помещение II», от 06.07.2026 № 1/5623-р </w:t>
        <w:br/>
        <w:t xml:space="preserve">«О передаче в аренду посредством проведения аукциона, открытого по составу участников </w:t>
        <w:br/>
        <w:t xml:space="preserve">и форме подачи предложений, нежилого помещения с кадастровым номером 71:30:050106:3309, расположенного по адресу: Тульская область, город Тула, улица Новомосковская, дом № 9, помещение 2», от 06.07.2026 № 1/5624-р «О передаче в аренду посредством проведения аукциона, открытого по составу участников и форме подачи предложений, нежилого помещения с кадастровым номером 71:14:030810:488, расположенного по адресу: Российская Федерация, Тульская обл., Ленинский р-н, </w:t>
        <w:br/>
        <w:t>с/п Ильинское, п. Прилепы, ул. Буденого, д. 7, пом. 6»</w:t>
      </w:r>
      <w:r>
        <w:rPr>
          <w:rFonts w:ascii="PT Astra Serif" w:hAnsi="PT Astra Serif"/>
          <w:iCs/>
        </w:rPr>
        <w:t xml:space="preserve">. </w:t>
      </w:r>
    </w:p>
    <w:p>
      <w:pPr>
        <w:pStyle w:val="Normal"/>
        <w:widowControl w:val="false"/>
        <w:ind w:firstLine="709"/>
        <w:jc w:val="both"/>
        <w:rPr>
          <w:rFonts w:ascii="PT Astra Serif" w:hAnsi="PT Astra Serif"/>
          <w:color w:val="FF0000"/>
        </w:rPr>
      </w:pPr>
      <w:r>
        <w:rPr>
          <w:rFonts w:ascii="PT Astra Serif" w:hAnsi="PT Astra Serif"/>
          <w:color w:val="FF0000"/>
        </w:rPr>
      </w:r>
    </w:p>
    <w:p>
      <w:pPr>
        <w:pStyle w:val="Normal"/>
        <w:widowControl w:val="false"/>
        <w:ind w:firstLine="709"/>
        <w:jc w:val="both"/>
        <w:rPr>
          <w:rFonts w:ascii="PT Astra Serif" w:hAnsi="PT Astra Serif"/>
        </w:rPr>
      </w:pPr>
      <w:r>
        <w:rPr>
          <w:rFonts w:ascii="PT Astra Serif" w:hAnsi="PT Astra Serif"/>
        </w:rPr>
        <w:t xml:space="preserve">Настоящая документация об аукционе содержит следующую информацию: </w:t>
      </w:r>
    </w:p>
    <w:p>
      <w:pPr>
        <w:pStyle w:val="Normal"/>
        <w:widowControl w:val="false"/>
        <w:ind w:firstLine="709"/>
        <w:jc w:val="both"/>
        <w:rPr>
          <w:rFonts w:ascii="PT Astra Serif" w:hAnsi="PT Astra Serif"/>
        </w:rPr>
      </w:pPr>
      <w:r>
        <w:rPr>
          <w:rFonts w:ascii="PT Astra Serif" w:hAnsi="PT Astra Serif"/>
        </w:rPr>
        <w:t>1.</w:t>
        <w:tab/>
        <w:t>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 адрес электронной площадки в информационно - телекоммуникационной сети «Интернет», на которой проводится аукцион;</w:t>
      </w:r>
    </w:p>
    <w:p>
      <w:pPr>
        <w:pStyle w:val="Normal"/>
        <w:widowControl w:val="false"/>
        <w:ind w:firstLine="709"/>
        <w:jc w:val="both"/>
        <w:rPr>
          <w:rFonts w:ascii="PT Astra Serif" w:hAnsi="PT Astra Serif"/>
        </w:rPr>
      </w:pPr>
      <w:r>
        <w:rPr>
          <w:rFonts w:ascii="PT Astra Serif" w:hAnsi="PT Astra Serif"/>
        </w:rPr>
        <w:t>2.</w:t>
        <w:tab/>
        <w:t>Место расположения, описание и технические характеристики муниципального имущества;</w:t>
      </w:r>
    </w:p>
    <w:p>
      <w:pPr>
        <w:pStyle w:val="Normal"/>
        <w:widowControl w:val="false"/>
        <w:ind w:firstLine="709"/>
        <w:jc w:val="both"/>
        <w:rPr>
          <w:rFonts w:ascii="PT Astra Serif" w:hAnsi="PT Astra Serif"/>
        </w:rPr>
      </w:pPr>
      <w:r>
        <w:rPr>
          <w:rFonts w:ascii="PT Astra Serif" w:hAnsi="PT Astra Serif"/>
        </w:rPr>
        <w:t>3.</w:t>
        <w:tab/>
        <w:t>Целевое назначение муниципального имущества, права на которое передаются по договору;</w:t>
      </w:r>
    </w:p>
    <w:p>
      <w:pPr>
        <w:pStyle w:val="Normal"/>
        <w:widowControl w:val="false"/>
        <w:ind w:firstLine="709"/>
        <w:jc w:val="both"/>
        <w:rPr>
          <w:rFonts w:ascii="PT Astra Serif" w:hAnsi="PT Astra Serif"/>
        </w:rPr>
      </w:pPr>
      <w:r>
        <w:rPr>
          <w:rFonts w:ascii="PT Astra Serif" w:hAnsi="PT Astra Serif"/>
        </w:rPr>
        <w:t>4.</w:t>
        <w:tab/>
        <w:t>Начальная (минимальная) цена договора (цену лота) в размере ежемесячного или ежегодного платежа за право владения или пользования указанным имуществом, в размере платежа за право заключить договор безвозмездного пользования указанным имуществом;</w:t>
      </w:r>
    </w:p>
    <w:p>
      <w:pPr>
        <w:pStyle w:val="Normal"/>
        <w:widowControl w:val="false"/>
        <w:ind w:firstLine="709"/>
        <w:jc w:val="both"/>
        <w:rPr>
          <w:rFonts w:ascii="PT Astra Serif" w:hAnsi="PT Astra Serif"/>
        </w:rPr>
      </w:pPr>
      <w:r>
        <w:rPr>
          <w:rFonts w:ascii="PT Astra Serif" w:hAnsi="PT Astra Serif"/>
        </w:rPr>
        <w:t>5.</w:t>
        <w:tab/>
        <w:t>Срок действия договора;</w:t>
      </w:r>
    </w:p>
    <w:p>
      <w:pPr>
        <w:pStyle w:val="Normal"/>
        <w:widowControl w:val="false"/>
        <w:ind w:firstLine="709"/>
        <w:jc w:val="both"/>
        <w:rPr>
          <w:rFonts w:ascii="PT Astra Serif" w:hAnsi="PT Astra Serif"/>
        </w:rPr>
      </w:pPr>
      <w:r>
        <w:rPr>
          <w:rFonts w:ascii="PT Astra Serif" w:hAnsi="PT Astra Serif"/>
        </w:rPr>
        <w:t>6.</w:t>
        <w:tab/>
        <w:t>Имущество имеет следующие обременения;</w:t>
      </w:r>
    </w:p>
    <w:p>
      <w:pPr>
        <w:pStyle w:val="Normal"/>
        <w:widowControl w:val="false"/>
        <w:tabs>
          <w:tab w:val="clear" w:pos="709"/>
          <w:tab w:val="left" w:pos="142" w:leader="none"/>
        </w:tabs>
        <w:ind w:firstLine="709"/>
        <w:jc w:val="both"/>
        <w:rPr>
          <w:rFonts w:ascii="PT Astra Serif" w:hAnsi="PT Astra Serif"/>
        </w:rPr>
      </w:pPr>
      <w:r>
        <w:rPr>
          <w:rFonts w:ascii="PT Astra Serif" w:hAnsi="PT Astra Serif"/>
        </w:rPr>
        <w:t>7.</w:t>
        <w:tab/>
        <w:t>Указание на то, что участниками аукциона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имеющие право на поддержку органов государственной власти и органов местного самоуправления;</w:t>
      </w:r>
    </w:p>
    <w:p>
      <w:pPr>
        <w:pStyle w:val="Normal"/>
        <w:widowControl w:val="false"/>
        <w:ind w:firstLine="709"/>
        <w:jc w:val="both"/>
        <w:rPr>
          <w:rFonts w:ascii="PT Astra Serif" w:hAnsi="PT Astra Serif"/>
        </w:rPr>
      </w:pPr>
      <w:r>
        <w:rPr>
          <w:rFonts w:ascii="PT Astra Serif" w:hAnsi="PT Astra Serif"/>
        </w:rPr>
        <w:t>8.</w:t>
        <w:tab/>
        <w:t>Порядок подачи заявок на участие в аукционе;</w:t>
      </w:r>
    </w:p>
    <w:p>
      <w:pPr>
        <w:pStyle w:val="Normal"/>
        <w:widowControl w:val="false"/>
        <w:ind w:firstLine="709"/>
        <w:jc w:val="both"/>
        <w:rPr>
          <w:rFonts w:ascii="PT Astra Serif" w:hAnsi="PT Astra Serif"/>
        </w:rPr>
      </w:pPr>
      <w:r>
        <w:rPr>
          <w:rFonts w:ascii="PT Astra Serif" w:hAnsi="PT Astra Serif"/>
        </w:rPr>
        <w:t>9.</w:t>
        <w:tab/>
        <w:t>Дата начала подачи заявок на участие в аукционе;</w:t>
      </w:r>
    </w:p>
    <w:p>
      <w:pPr>
        <w:pStyle w:val="Normal"/>
        <w:widowControl w:val="false"/>
        <w:ind w:firstLine="709"/>
        <w:jc w:val="both"/>
        <w:rPr>
          <w:rFonts w:ascii="PT Astra Serif" w:hAnsi="PT Astra Serif"/>
        </w:rPr>
      </w:pPr>
      <w:r>
        <w:rPr>
          <w:rFonts w:ascii="PT Astra Serif" w:hAnsi="PT Astra Serif"/>
        </w:rPr>
        <w:t>10.</w:t>
        <w:tab/>
        <w:t>Дата и время окончания срока подачи заявок на участие в аукционе;</w:t>
      </w:r>
    </w:p>
    <w:p>
      <w:pPr>
        <w:pStyle w:val="Normal"/>
        <w:widowControl w:val="false"/>
        <w:ind w:firstLine="709"/>
        <w:jc w:val="both"/>
        <w:rPr>
          <w:rFonts w:ascii="PT Astra Serif" w:hAnsi="PT Astra Serif"/>
        </w:rPr>
      </w:pPr>
      <w:r>
        <w:rPr>
          <w:rFonts w:ascii="PT Astra Serif" w:hAnsi="PT Astra Serif"/>
        </w:rPr>
        <w:t>11.</w:t>
        <w:tab/>
        <w:t>Место подачи заявок на участие в аукционе;</w:t>
      </w:r>
    </w:p>
    <w:p>
      <w:pPr>
        <w:pStyle w:val="Normal"/>
        <w:widowControl w:val="false"/>
        <w:ind w:firstLine="709"/>
        <w:jc w:val="both"/>
        <w:rPr>
          <w:rFonts w:ascii="PT Astra Serif" w:hAnsi="PT Astra Serif"/>
        </w:rPr>
      </w:pPr>
      <w:r>
        <w:rPr>
          <w:rFonts w:ascii="PT Astra Serif" w:hAnsi="PT Astra Serif"/>
        </w:rPr>
        <w:t>12.</w:t>
        <w:tab/>
        <w:t>Требование о внесении задатка, размер задатка;</w:t>
      </w:r>
    </w:p>
    <w:p>
      <w:pPr>
        <w:pStyle w:val="Normal"/>
        <w:widowControl w:val="false"/>
        <w:ind w:firstLine="709"/>
        <w:jc w:val="both"/>
        <w:rPr>
          <w:rFonts w:ascii="PT Astra Serif" w:hAnsi="PT Astra Serif"/>
        </w:rPr>
      </w:pPr>
      <w:r>
        <w:rPr>
          <w:rFonts w:ascii="PT Astra Serif" w:hAnsi="PT Astra Serif"/>
        </w:rPr>
        <w:t>13.</w:t>
        <w:tab/>
        <w:t>Срок и порядок внесения задатка;</w:t>
      </w:r>
    </w:p>
    <w:p>
      <w:pPr>
        <w:pStyle w:val="Normal"/>
        <w:widowControl w:val="false"/>
        <w:ind w:firstLine="709"/>
        <w:jc w:val="both"/>
        <w:rPr>
          <w:rFonts w:ascii="PT Astra Serif" w:hAnsi="PT Astra Serif"/>
        </w:rPr>
      </w:pPr>
      <w:r>
        <w:rPr>
          <w:rFonts w:ascii="PT Astra Serif" w:hAnsi="PT Astra Serif"/>
        </w:rPr>
        <w:t>14.</w:t>
        <w:tab/>
        <w:t>Реквизиты счета для перечисления задатка;</w:t>
      </w:r>
    </w:p>
    <w:p>
      <w:pPr>
        <w:pStyle w:val="Normal"/>
        <w:widowControl w:val="false"/>
        <w:ind w:firstLine="709"/>
        <w:jc w:val="both"/>
        <w:rPr>
          <w:rFonts w:ascii="PT Astra Serif" w:hAnsi="PT Astra Serif"/>
        </w:rPr>
      </w:pPr>
      <w:r>
        <w:rPr>
          <w:rFonts w:ascii="PT Astra Serif" w:hAnsi="PT Astra Serif"/>
        </w:rPr>
        <w:t>15.</w:t>
        <w:tab/>
        <w:t>Дата и время начала рассмотрения заявок на участие в аукционе;</w:t>
      </w:r>
    </w:p>
    <w:p>
      <w:pPr>
        <w:pStyle w:val="Normal"/>
        <w:widowControl w:val="false"/>
        <w:ind w:firstLine="709"/>
        <w:jc w:val="both"/>
        <w:rPr>
          <w:rFonts w:ascii="PT Astra Serif" w:hAnsi="PT Astra Serif"/>
        </w:rPr>
      </w:pPr>
      <w:r>
        <w:rPr>
          <w:rFonts w:ascii="PT Astra Serif" w:hAnsi="PT Astra Serif"/>
        </w:rPr>
        <w:t>16.</w:t>
        <w:tab/>
        <w:t>Дата и время окончания рассмотрения заявок на участие в аукционе;</w:t>
      </w:r>
    </w:p>
    <w:p>
      <w:pPr>
        <w:pStyle w:val="Normal"/>
        <w:widowControl w:val="false"/>
        <w:ind w:firstLine="709"/>
        <w:jc w:val="both"/>
        <w:rPr>
          <w:rFonts w:ascii="PT Astra Serif" w:hAnsi="PT Astra Serif"/>
        </w:rPr>
      </w:pPr>
      <w:r>
        <w:rPr>
          <w:rFonts w:ascii="PT Astra Serif" w:hAnsi="PT Astra Serif"/>
        </w:rPr>
        <w:t>17.</w:t>
        <w:tab/>
        <w:t>Величина повышения начальной цены договора ("шаг аукциона");</w:t>
      </w:r>
    </w:p>
    <w:p>
      <w:pPr>
        <w:pStyle w:val="Normal"/>
        <w:widowControl w:val="false"/>
        <w:ind w:firstLine="709"/>
        <w:jc w:val="both"/>
        <w:rPr>
          <w:rFonts w:ascii="PT Astra Serif" w:hAnsi="PT Astra Serif"/>
        </w:rPr>
      </w:pPr>
      <w:r>
        <w:rPr>
          <w:rFonts w:ascii="PT Astra Serif" w:hAnsi="PT Astra Serif"/>
        </w:rPr>
        <w:t>18.</w:t>
        <w:tab/>
        <w:t>Дата и время начала проведения аукциона;</w:t>
      </w:r>
    </w:p>
    <w:p>
      <w:pPr>
        <w:pStyle w:val="Normal"/>
        <w:widowControl w:val="false"/>
        <w:ind w:firstLine="709"/>
        <w:jc w:val="both"/>
        <w:rPr>
          <w:rFonts w:ascii="PT Astra Serif" w:hAnsi="PT Astra Serif"/>
        </w:rPr>
      </w:pPr>
      <w:r>
        <w:rPr>
          <w:rFonts w:ascii="PT Astra Serif" w:hAnsi="PT Astra Serif"/>
        </w:rPr>
        <w:t>19.</w:t>
        <w:tab/>
        <w:t>Сроки и порядок оплаты по договору;</w:t>
      </w:r>
    </w:p>
    <w:p>
      <w:pPr>
        <w:pStyle w:val="Normal"/>
        <w:widowControl w:val="false"/>
        <w:ind w:firstLine="709"/>
        <w:jc w:val="both"/>
        <w:rPr>
          <w:rFonts w:ascii="PT Astra Serif" w:hAnsi="PT Astra Serif"/>
        </w:rPr>
      </w:pPr>
      <w:r>
        <w:rPr>
          <w:rFonts w:ascii="PT Astra Serif" w:hAnsi="PT Astra Serif"/>
        </w:rPr>
        <w:t>20.</w:t>
        <w:tab/>
        <w:t>Срок, в течение которого организатор аукциона вправе отказаться от проведения аукциона;</w:t>
      </w:r>
    </w:p>
    <w:p>
      <w:pPr>
        <w:pStyle w:val="Normal"/>
        <w:widowControl w:val="false"/>
        <w:ind w:firstLine="709"/>
        <w:jc w:val="both"/>
        <w:rPr>
          <w:rFonts w:ascii="PT Astra Serif" w:hAnsi="PT Astra Serif"/>
        </w:rPr>
      </w:pPr>
      <w:r>
        <w:rPr>
          <w:rFonts w:ascii="PT Astra Serif" w:hAnsi="PT Astra Serif"/>
        </w:rPr>
        <w:t>21.</w:t>
        <w:tab/>
        <w:t>Срок, в течение которого должен быть подписан проект договора;</w:t>
      </w:r>
    </w:p>
    <w:p>
      <w:pPr>
        <w:pStyle w:val="Normal"/>
        <w:widowControl w:val="false"/>
        <w:ind w:firstLine="709"/>
        <w:jc w:val="both"/>
        <w:rPr>
          <w:rFonts w:ascii="PT Astra Serif" w:hAnsi="PT Astra Serif"/>
        </w:rPr>
      </w:pPr>
      <w:r>
        <w:rPr>
          <w:rFonts w:ascii="PT Astra Serif" w:hAnsi="PT Astra Serif"/>
        </w:rPr>
        <w:t>22.</w:t>
        <w:tab/>
        <w:t>Требования к содержанию, составу и форме заявки на участие в аукционе и инструкция по ее заполнению;</w:t>
      </w:r>
    </w:p>
    <w:p>
      <w:pPr>
        <w:pStyle w:val="Normal"/>
        <w:widowControl w:val="false"/>
        <w:ind w:firstLine="709"/>
        <w:jc w:val="both"/>
        <w:rPr>
          <w:rFonts w:ascii="PT Astra Serif" w:hAnsi="PT Astra Serif"/>
        </w:rPr>
      </w:pPr>
      <w:r>
        <w:rPr>
          <w:rFonts w:ascii="PT Astra Serif" w:hAnsi="PT Astra Serif"/>
        </w:rPr>
        <w:t>23.</w:t>
        <w:tab/>
        <w:t>Форма заявки на участие в аукционе;</w:t>
      </w:r>
    </w:p>
    <w:p>
      <w:pPr>
        <w:pStyle w:val="Normal"/>
        <w:widowControl w:val="false"/>
        <w:ind w:firstLine="709"/>
        <w:jc w:val="both"/>
        <w:rPr>
          <w:rFonts w:ascii="PT Astra Serif" w:hAnsi="PT Astra Serif"/>
        </w:rPr>
      </w:pPr>
      <w:r>
        <w:rPr>
          <w:rFonts w:ascii="PT Astra Serif" w:hAnsi="PT Astra Serif"/>
        </w:rPr>
        <w:t>24.</w:t>
        <w:tab/>
        <w:t>Порядок пересмотра цены договора (цены лота) в сторону увеличения;</w:t>
      </w:r>
    </w:p>
    <w:p>
      <w:pPr>
        <w:pStyle w:val="Normal"/>
        <w:widowControl w:val="false"/>
        <w:ind w:firstLine="709"/>
        <w:jc w:val="both"/>
        <w:rPr>
          <w:rFonts w:ascii="PT Astra Serif" w:hAnsi="PT Astra Serif"/>
        </w:rPr>
      </w:pPr>
      <w:r>
        <w:rPr>
          <w:rFonts w:ascii="PT Astra Serif" w:hAnsi="PT Astra Serif"/>
        </w:rPr>
        <w:t>25.</w:t>
        <w:tab/>
        <w:t>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в случае, если создание и передача такого имущества предусмотрены договором;</w:t>
      </w:r>
    </w:p>
    <w:p>
      <w:pPr>
        <w:pStyle w:val="Normal"/>
        <w:widowControl w:val="false"/>
        <w:ind w:firstLine="709"/>
        <w:jc w:val="both"/>
        <w:rPr>
          <w:rFonts w:ascii="PT Astra Serif" w:hAnsi="PT Astra Serif"/>
        </w:rPr>
      </w:pPr>
      <w:r>
        <w:rPr>
          <w:rFonts w:ascii="PT Astra Serif" w:hAnsi="PT Astra Serif"/>
        </w:rPr>
        <w:t>26.</w:t>
        <w:tab/>
        <w:t>Требования к участникам аукциона;</w:t>
      </w:r>
    </w:p>
    <w:p>
      <w:pPr>
        <w:pStyle w:val="Normal"/>
        <w:widowControl w:val="false"/>
        <w:ind w:firstLine="709"/>
        <w:jc w:val="both"/>
        <w:rPr>
          <w:rFonts w:ascii="PT Astra Serif" w:hAnsi="PT Astra Serif"/>
        </w:rPr>
      </w:pPr>
      <w:r>
        <w:rPr>
          <w:rFonts w:ascii="PT Astra Serif" w:hAnsi="PT Astra Serif"/>
        </w:rPr>
        <w:t>27.</w:t>
        <w:tab/>
        <w:t>Формы, порядок, даты начала и окончания срока предоставления заявителям разъяснений положений документации об аукционе;</w:t>
      </w:r>
    </w:p>
    <w:p>
      <w:pPr>
        <w:pStyle w:val="Normal"/>
        <w:widowControl w:val="false"/>
        <w:ind w:firstLine="709"/>
        <w:jc w:val="both"/>
        <w:rPr>
          <w:rFonts w:ascii="PT Astra Serif" w:hAnsi="PT Astra Serif"/>
        </w:rPr>
      </w:pPr>
      <w:r>
        <w:rPr>
          <w:rFonts w:ascii="PT Astra Serif" w:hAnsi="PT Astra Serif"/>
        </w:rPr>
        <w:t>28.</w:t>
        <w:tab/>
        <w:t>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w:t>
      </w:r>
    </w:p>
    <w:p>
      <w:pPr>
        <w:pStyle w:val="Normal"/>
        <w:widowControl w:val="false"/>
        <w:ind w:firstLine="709"/>
        <w:jc w:val="both"/>
        <w:rPr>
          <w:rFonts w:ascii="PT Astra Serif" w:hAnsi="PT Astra Serif"/>
        </w:rPr>
      </w:pPr>
      <w:r>
        <w:rPr>
          <w:rFonts w:ascii="PT Astra Serif" w:hAnsi="PT Astra Serif"/>
        </w:rPr>
        <w:t>29.</w:t>
        <w:tab/>
        <w:t>Дата, время, график проведения осмотра имущества, права на которое передаются по договору;</w:t>
      </w:r>
    </w:p>
    <w:p>
      <w:pPr>
        <w:pStyle w:val="Normal"/>
        <w:widowControl w:val="false"/>
        <w:ind w:firstLine="709"/>
        <w:jc w:val="both"/>
        <w:rPr>
          <w:rFonts w:ascii="PT Astra Serif" w:hAnsi="PT Astra Serif"/>
        </w:rPr>
      </w:pPr>
      <w:r>
        <w:rPr>
          <w:rFonts w:ascii="PT Astra Serif" w:hAnsi="PT Astra Serif"/>
        </w:rPr>
        <w:t>30.</w:t>
        <w:tab/>
        <w:t>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pPr>
        <w:pStyle w:val="Normal"/>
        <w:widowControl w:val="false"/>
        <w:ind w:firstLine="709"/>
        <w:jc w:val="both"/>
        <w:rPr>
          <w:rFonts w:ascii="PT Astra Serif" w:hAnsi="PT Astra Serif"/>
        </w:rPr>
      </w:pPr>
      <w:r>
        <w:rPr>
          <w:rFonts w:ascii="PT Astra Serif" w:hAnsi="PT Astra Serif"/>
        </w:rPr>
        <w:t>31.</w:t>
        <w:tab/>
        <w:t>Порядок и срок отзыва заявок на участие в аукционе;</w:t>
      </w:r>
    </w:p>
    <w:p>
      <w:pPr>
        <w:pStyle w:val="Normal"/>
        <w:widowControl w:val="false"/>
        <w:ind w:firstLine="709"/>
        <w:jc w:val="both"/>
        <w:rPr>
          <w:rFonts w:ascii="PT Astra Serif" w:hAnsi="PT Astra Serif"/>
        </w:rPr>
      </w:pPr>
      <w:r>
        <w:rPr>
          <w:rFonts w:ascii="PT Astra Serif" w:hAnsi="PT Astra Serif"/>
        </w:rPr>
        <w:t>32.</w:t>
        <w:tab/>
        <w:t>Копия документа, подтверждающего согласие собственника имущества (а в случае заключения договора субаренды также и арендодателя) на предоставление прав в отношении государственного или муниципального имущества по договору, право на заключение которого является предметом торгов;</w:t>
      </w:r>
    </w:p>
    <w:p>
      <w:pPr>
        <w:pStyle w:val="Normal"/>
        <w:widowControl w:val="false"/>
        <w:ind w:firstLine="709"/>
        <w:jc w:val="both"/>
        <w:rPr>
          <w:rFonts w:ascii="PT Astra Serif" w:hAnsi="PT Astra Serif"/>
        </w:rPr>
      </w:pPr>
      <w:r>
        <w:rPr>
          <w:rFonts w:ascii="PT Astra Serif" w:hAnsi="PT Astra Serif"/>
        </w:rPr>
        <w:t>33.</w:t>
        <w:tab/>
        <w:t>Копия документа, подтверждающего согласие собственника имущества (арендодателя) на предоставление лицом, с которым заключается договор, прав в отношении государственного или муниципального имущества третьим лицам, или указание на то, что передача таких прав третьим лицам не допускается.</w:t>
      </w:r>
    </w:p>
    <w:p>
      <w:pPr>
        <w:pStyle w:val="Normal"/>
        <w:widowControl w:val="false"/>
        <w:ind w:firstLine="709"/>
        <w:jc w:val="both"/>
        <w:rPr>
          <w:rFonts w:ascii="PT Astra Serif" w:hAnsi="PT Astra Serif"/>
        </w:rPr>
      </w:pPr>
      <w:r>
        <w:rPr>
          <w:rFonts w:ascii="PT Astra Serif" w:hAnsi="PT Astra Serif"/>
        </w:rPr>
      </w:r>
    </w:p>
    <w:p>
      <w:pPr>
        <w:pStyle w:val="Normal"/>
        <w:widowControl w:val="false"/>
        <w:ind w:firstLine="680"/>
        <w:jc w:val="both"/>
        <w:rPr>
          <w:rFonts w:ascii="PT Astra Serif" w:hAnsi="PT Astra Serif"/>
        </w:rPr>
      </w:pPr>
      <w:r>
        <w:rPr>
          <w:rFonts w:ascii="PT Astra Serif" w:hAnsi="PT Astra Serif"/>
          <w:b/>
        </w:rPr>
        <w:t>Приложение 1:</w:t>
      </w:r>
      <w:r>
        <w:rPr>
          <w:rFonts w:ascii="PT Astra Serif" w:hAnsi="PT Astra Serif"/>
        </w:rPr>
        <w:t xml:space="preserve"> форма заявки на участие в аукционе;</w:t>
      </w:r>
    </w:p>
    <w:p>
      <w:pPr>
        <w:pStyle w:val="Normal"/>
        <w:widowControl w:val="false"/>
        <w:ind w:firstLine="680"/>
        <w:jc w:val="both"/>
        <w:rPr>
          <w:rFonts w:ascii="PT Astra Serif" w:hAnsi="PT Astra Serif"/>
        </w:rPr>
      </w:pPr>
      <w:r>
        <w:rPr>
          <w:rFonts w:ascii="PT Astra Serif" w:hAnsi="PT Astra Serif"/>
          <w:b/>
        </w:rPr>
        <w:t>Приложение 2</w:t>
      </w:r>
      <w:r>
        <w:rPr>
          <w:rFonts w:ascii="PT Astra Serif" w:hAnsi="PT Astra Serif"/>
        </w:rPr>
        <w:t>: проект договора аренды муниципального имущества муниципального образования город Тула (Лот 1);</w:t>
      </w:r>
    </w:p>
    <w:p>
      <w:pPr>
        <w:pStyle w:val="Normal"/>
        <w:widowControl w:val="false"/>
        <w:ind w:firstLine="680"/>
        <w:jc w:val="both"/>
        <w:rPr>
          <w:rFonts w:ascii="PT Astra Serif" w:hAnsi="PT Astra Serif"/>
        </w:rPr>
      </w:pPr>
      <w:r>
        <w:rPr>
          <w:rFonts w:ascii="PT Astra Serif" w:hAnsi="PT Astra Serif"/>
          <w:b/>
        </w:rPr>
        <w:t>Приложение 3</w:t>
      </w:r>
      <w:r>
        <w:rPr>
          <w:rFonts w:ascii="PT Astra Serif" w:hAnsi="PT Astra Serif"/>
        </w:rPr>
        <w:t>: проект договора аренды муниципального имущества муниципального образования город Тула (Лот 2);</w:t>
      </w:r>
    </w:p>
    <w:p>
      <w:pPr>
        <w:pStyle w:val="Normal"/>
        <w:widowControl w:val="false"/>
        <w:ind w:firstLine="680"/>
        <w:jc w:val="both"/>
        <w:rPr>
          <w:rFonts w:ascii="PT Astra Serif" w:hAnsi="PT Astra Serif"/>
        </w:rPr>
      </w:pPr>
      <w:r>
        <w:rPr>
          <w:rFonts w:ascii="PT Astra Serif" w:hAnsi="PT Astra Serif"/>
          <w:b/>
        </w:rPr>
        <w:t>Приложение 4</w:t>
      </w:r>
      <w:r>
        <w:rPr>
          <w:rFonts w:ascii="PT Astra Serif" w:hAnsi="PT Astra Serif"/>
        </w:rPr>
        <w:t>: проект договора аренды муниципального имущества муниципального образования город Тула (Лот 3);</w:t>
      </w:r>
    </w:p>
    <w:p>
      <w:pPr>
        <w:pStyle w:val="Normal"/>
        <w:widowControl w:val="false"/>
        <w:ind w:firstLine="680"/>
        <w:jc w:val="both"/>
        <w:rPr>
          <w:rFonts w:ascii="PT Astra Serif" w:hAnsi="PT Astra Serif"/>
        </w:rPr>
      </w:pPr>
      <w:r>
        <w:rPr>
          <w:rFonts w:ascii="PT Astra Serif" w:hAnsi="PT Astra Serif"/>
          <w:b/>
        </w:rPr>
        <w:t>Приложение 5</w:t>
      </w:r>
      <w:r>
        <w:rPr>
          <w:rFonts w:ascii="PT Astra Serif" w:hAnsi="PT Astra Serif"/>
        </w:rPr>
        <w:t>: письмо о согласии от 30.06.2026 № КииЗО/И-11765;</w:t>
      </w:r>
    </w:p>
    <w:p>
      <w:pPr>
        <w:pStyle w:val="Normal"/>
        <w:widowControl w:val="false"/>
        <w:ind w:firstLine="680"/>
        <w:jc w:val="both"/>
        <w:rPr>
          <w:rFonts w:ascii="PT Astra Serif" w:hAnsi="PT Astra Serif"/>
        </w:rPr>
      </w:pPr>
      <w:r>
        <w:rPr>
          <w:rFonts w:ascii="PT Astra Serif" w:hAnsi="PT Astra Serif"/>
          <w:b/>
        </w:rPr>
        <w:t>Приложение 6</w:t>
      </w:r>
      <w:r>
        <w:rPr>
          <w:rFonts w:ascii="PT Astra Serif" w:hAnsi="PT Astra Serif"/>
        </w:rPr>
        <w:t>: письмо о согласии от 25.06.2026 № КииЗО/И-11601;</w:t>
      </w:r>
    </w:p>
    <w:p>
      <w:pPr>
        <w:pStyle w:val="Normal"/>
        <w:widowControl w:val="false"/>
        <w:ind w:firstLine="680"/>
        <w:jc w:val="both"/>
        <w:rPr>
          <w:rFonts w:ascii="PT Astra Serif" w:hAnsi="PT Astra Serif"/>
        </w:rPr>
      </w:pPr>
      <w:r>
        <w:rPr>
          <w:rFonts w:ascii="PT Astra Serif" w:hAnsi="PT Astra Serif"/>
          <w:b/>
        </w:rPr>
        <w:t>Приложение 7</w:t>
      </w:r>
      <w:r>
        <w:rPr>
          <w:rFonts w:ascii="PT Astra Serif" w:hAnsi="PT Astra Serif"/>
        </w:rPr>
        <w:t>: письмо о согласии от 26.06.2026 № КииЗО/И-11658.</w:t>
      </w:r>
    </w:p>
    <w:p>
      <w:pPr>
        <w:pStyle w:val="Normal"/>
        <w:widowControl w:val="false"/>
        <w:ind w:firstLine="709"/>
        <w:jc w:val="both"/>
        <w:rPr>
          <w:rFonts w:ascii="PT Astra Serif" w:hAnsi="PT Astra Serif"/>
        </w:rPr>
      </w:pPr>
      <w:r>
        <w:rPr>
          <w:rFonts w:ascii="PT Astra Serif" w:hAnsi="PT Astra Serif"/>
        </w:rPr>
      </w:r>
      <w:bookmarkStart w:id="0" w:name="_Ref248571702_Копия_1"/>
      <w:bookmarkStart w:id="1" w:name="_Ref248571702_Копия_1"/>
      <w:bookmarkEnd w:id="1"/>
    </w:p>
    <w:tbl>
      <w:tblPr>
        <w:tblW w:w="10173"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805"/>
        <w:gridCol w:w="2987"/>
        <w:gridCol w:w="6381"/>
      </w:tblGrid>
      <w:tr>
        <w:trPr>
          <w:tblHeader w:val="true"/>
        </w:trPr>
        <w:tc>
          <w:tcPr>
            <w:tcW w:w="805" w:type="dxa"/>
            <w:tcBorders>
              <w:top w:val="single" w:sz="4" w:space="0" w:color="000000"/>
              <w:left w:val="single" w:sz="4" w:space="0" w:color="000000"/>
              <w:bottom w:val="single" w:sz="4" w:space="0" w:color="000000"/>
              <w:right w:val="single" w:sz="4" w:space="0" w:color="000000"/>
            </w:tcBorders>
            <w:shd w:color="auto" w:fill="E6E6E6" w:val="clear"/>
            <w:vAlign w:val="center"/>
          </w:tcPr>
          <w:p>
            <w:pPr>
              <w:pStyle w:val="Normal"/>
              <w:keepNext w:val="true"/>
              <w:keepLines/>
              <w:widowControl w:val="false"/>
              <w:suppressLineNumbers/>
              <w:jc w:val="center"/>
              <w:rPr>
                <w:rFonts w:ascii="PT Astra Serif" w:hAnsi="PT Astra Serif"/>
              </w:rPr>
            </w:pPr>
            <w:r>
              <w:rPr>
                <w:rFonts w:ascii="PT Astra Serif" w:hAnsi="PT Astra Serif"/>
                <w:b/>
                <w:bCs/>
              </w:rPr>
              <w:t>№</w:t>
            </w:r>
          </w:p>
          <w:p>
            <w:pPr>
              <w:pStyle w:val="Normal"/>
              <w:keepNext w:val="true"/>
              <w:keepLines/>
              <w:widowControl w:val="false"/>
              <w:suppressLineNumbers/>
              <w:jc w:val="center"/>
              <w:rPr>
                <w:rFonts w:ascii="PT Astra Serif" w:hAnsi="PT Astra Serif"/>
              </w:rPr>
            </w:pPr>
            <w:r>
              <w:rPr>
                <w:rFonts w:ascii="PT Astra Serif" w:hAnsi="PT Astra Serif"/>
                <w:b/>
                <w:bCs/>
              </w:rPr>
              <w:t>пункта</w:t>
            </w:r>
          </w:p>
        </w:tc>
        <w:tc>
          <w:tcPr>
            <w:tcW w:w="2987" w:type="dxa"/>
            <w:tcBorders>
              <w:top w:val="single" w:sz="4" w:space="0" w:color="000000"/>
              <w:left w:val="single" w:sz="4" w:space="0" w:color="000000"/>
              <w:bottom w:val="single" w:sz="4" w:space="0" w:color="000000"/>
              <w:right w:val="single" w:sz="4" w:space="0" w:color="000000"/>
            </w:tcBorders>
            <w:shd w:color="auto" w:fill="E6E6E6" w:val="clear"/>
            <w:vAlign w:val="center"/>
          </w:tcPr>
          <w:p>
            <w:pPr>
              <w:pStyle w:val="Normal"/>
              <w:keepNext w:val="true"/>
              <w:keepLines/>
              <w:widowControl w:val="false"/>
              <w:suppressLineNumbers/>
              <w:jc w:val="center"/>
              <w:rPr>
                <w:rFonts w:ascii="PT Astra Serif" w:hAnsi="PT Astra Serif"/>
              </w:rPr>
            </w:pPr>
            <w:r>
              <w:rPr>
                <w:rFonts w:ascii="PT Astra Serif" w:hAnsi="PT Astra Serif"/>
                <w:b/>
                <w:bCs/>
              </w:rPr>
              <w:t>Содержание пункта</w:t>
            </w:r>
          </w:p>
        </w:tc>
        <w:tc>
          <w:tcPr>
            <w:tcW w:w="6381" w:type="dxa"/>
            <w:tcBorders>
              <w:top w:val="single" w:sz="4" w:space="0" w:color="000000"/>
              <w:left w:val="single" w:sz="4" w:space="0" w:color="000000"/>
              <w:bottom w:val="single" w:sz="4" w:space="0" w:color="000000"/>
              <w:right w:val="single" w:sz="4" w:space="0" w:color="000000"/>
            </w:tcBorders>
            <w:shd w:color="auto" w:fill="E6E6E6" w:val="clear"/>
            <w:vAlign w:val="center"/>
          </w:tcPr>
          <w:p>
            <w:pPr>
              <w:pStyle w:val="Normal"/>
              <w:keepNext w:val="true"/>
              <w:keepLines/>
              <w:widowControl w:val="false"/>
              <w:suppressLineNumbers/>
              <w:jc w:val="center"/>
              <w:rPr>
                <w:rFonts w:ascii="PT Astra Serif" w:hAnsi="PT Astra Serif"/>
              </w:rPr>
            </w:pPr>
            <w:r>
              <w:rPr>
                <w:rFonts w:ascii="PT Astra Serif" w:hAnsi="PT Astra Serif"/>
                <w:b/>
                <w:bCs/>
              </w:rPr>
              <w:t>Информация</w:t>
            </w:r>
          </w:p>
        </w:tc>
      </w:tr>
      <w:tr>
        <w:trPr/>
        <w:tc>
          <w:tcPr>
            <w:tcW w:w="10173" w:type="dxa"/>
            <w:gridSpan w:val="3"/>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uppressLineNumbers/>
              <w:rPr>
                <w:rFonts w:ascii="PT Astra Serif" w:hAnsi="PT Astra Serif"/>
              </w:rPr>
            </w:pPr>
            <w:r>
              <w:rPr>
                <w:rFonts w:ascii="PT Astra Serif" w:hAnsi="PT Astra Serif"/>
              </w:rPr>
              <w:t>Открытый аукцион проводит организатор аукциона</w:t>
            </w:r>
          </w:p>
        </w:tc>
      </w:tr>
      <w:tr>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w:t>
            </w:r>
          </w:p>
          <w:p>
            <w:pPr>
              <w:pStyle w:val="Normal"/>
              <w:jc w:val="center"/>
              <w:rPr>
                <w:rFonts w:ascii="PT Astra Serif" w:hAnsi="PT Astra Serif"/>
                <w:bCs/>
              </w:rPr>
            </w:pPr>
            <w:r>
              <w:rPr>
                <w:rFonts w:ascii="PT Astra Serif" w:hAnsi="PT Astra Serif"/>
                <w:bCs/>
              </w:rPr>
            </w:r>
          </w:p>
          <w:p>
            <w:pPr>
              <w:pStyle w:val="Heading1"/>
              <w:spacing w:before="0" w:after="0"/>
              <w:jc w:val="center"/>
              <w:rPr>
                <w:rFonts w:ascii="PT Astra Serif" w:hAnsi="PT Astra Serif" w:cs="Times New Roman"/>
                <w:b w:val="false"/>
                <w:sz w:val="24"/>
                <w:szCs w:val="24"/>
              </w:rPr>
            </w:pPr>
            <w:r>
              <w:rPr>
                <w:rFonts w:cs="Times New Roman" w:ascii="PT Astra Serif" w:hAnsi="PT Astra Serif"/>
                <w:b w:val="false"/>
                <w:sz w:val="24"/>
                <w:szCs w:val="24"/>
              </w:rPr>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rPr>
              <w:t>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 адрес электронной площадки в информационно - телекоммуникационной сети «Интернет», на которой проводится аукцион</w:t>
            </w:r>
          </w:p>
        </w:tc>
        <w:tc>
          <w:tcPr>
            <w:tcW w:w="6381"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uppressLineNumbers/>
              <w:rPr>
                <w:rFonts w:ascii="PT Astra Serif" w:hAnsi="PT Astra Serif"/>
              </w:rPr>
            </w:pPr>
            <w:r>
              <w:rPr>
                <w:rFonts w:ascii="PT Astra Serif" w:hAnsi="PT Astra Serif"/>
                <w:b/>
              </w:rPr>
              <w:t>Наименование:</w:t>
            </w:r>
            <w:r>
              <w:rPr>
                <w:rFonts w:ascii="PT Astra Serif" w:hAnsi="PT Astra Serif"/>
              </w:rPr>
              <w:t xml:space="preserve"> Комитет имущественных и земельных отношений администрации города Тулы</w:t>
            </w:r>
          </w:p>
          <w:p>
            <w:pPr>
              <w:pStyle w:val="Normal"/>
              <w:keepNext w:val="true"/>
              <w:keepLines/>
              <w:widowControl w:val="false"/>
              <w:suppressLineNumbers/>
              <w:rPr>
                <w:rFonts w:ascii="PT Astra Serif" w:hAnsi="PT Astra Serif"/>
              </w:rPr>
            </w:pPr>
            <w:r>
              <w:rPr>
                <w:rFonts w:ascii="PT Astra Serif" w:hAnsi="PT Astra Serif"/>
                <w:b/>
              </w:rPr>
              <w:t xml:space="preserve">Местонахождение: </w:t>
            </w:r>
            <w:r>
              <w:rPr>
                <w:rFonts w:ascii="PT Astra Serif" w:hAnsi="PT Astra Serif"/>
              </w:rPr>
              <w:t>г. Тула, ул. Гоголевская, д. 73</w:t>
            </w:r>
          </w:p>
          <w:p>
            <w:pPr>
              <w:pStyle w:val="Normal"/>
              <w:keepNext w:val="true"/>
              <w:keepLines/>
              <w:widowControl w:val="false"/>
              <w:suppressLineNumbers/>
              <w:rPr>
                <w:rFonts w:ascii="PT Astra Serif" w:hAnsi="PT Astra Serif"/>
              </w:rPr>
            </w:pPr>
            <w:r>
              <w:rPr>
                <w:rFonts w:ascii="PT Astra Serif" w:hAnsi="PT Astra Serif"/>
                <w:b/>
              </w:rPr>
              <w:t>Почтовый адрес:</w:t>
            </w:r>
          </w:p>
          <w:p>
            <w:pPr>
              <w:pStyle w:val="Normal"/>
              <w:keepNext w:val="true"/>
              <w:keepLines/>
              <w:widowControl w:val="false"/>
              <w:suppressLineNumbers/>
              <w:rPr>
                <w:rFonts w:ascii="PT Astra Serif" w:hAnsi="PT Astra Serif"/>
              </w:rPr>
            </w:pPr>
            <w:r>
              <w:rPr>
                <w:rFonts w:ascii="PT Astra Serif" w:hAnsi="PT Astra Serif"/>
              </w:rPr>
              <w:t>300034, г. Тула, ул. Гоголевская, д. 73</w:t>
            </w:r>
          </w:p>
          <w:p>
            <w:pPr>
              <w:pStyle w:val="Normal"/>
              <w:rPr>
                <w:rFonts w:ascii="PT Astra Serif" w:hAnsi="PT Astra Serif"/>
              </w:rPr>
            </w:pPr>
            <w:r>
              <w:rPr>
                <w:rFonts w:ascii="PT Astra Serif" w:hAnsi="PT Astra Serif"/>
                <w:b/>
              </w:rPr>
              <w:t>Адрес электронной почты:</w:t>
            </w:r>
            <w:r>
              <w:rPr>
                <w:rFonts w:ascii="PT Astra Serif" w:hAnsi="PT Astra Serif"/>
              </w:rPr>
              <w:t xml:space="preserve"> </w:t>
            </w:r>
            <w:hyperlink r:id="rId2">
              <w:r>
                <w:rPr>
                  <w:rStyle w:val="Hyperlink"/>
                  <w:rFonts w:ascii="PT Astra Serif" w:hAnsi="PT Astra Serif"/>
                  <w:lang w:val="en-US"/>
                </w:rPr>
                <w:t>lomakindya</w:t>
              </w:r>
              <w:r>
                <w:rPr>
                  <w:rStyle w:val="Hyperlink"/>
                  <w:rFonts w:ascii="PT Astra Serif" w:hAnsi="PT Astra Serif"/>
                </w:rPr>
                <w:t>@</w:t>
              </w:r>
              <w:r>
                <w:rPr>
                  <w:rStyle w:val="Hyperlink"/>
                  <w:rFonts w:ascii="PT Astra Serif" w:hAnsi="PT Astra Serif"/>
                  <w:lang w:val="en-US"/>
                </w:rPr>
                <w:t>cityadm</w:t>
              </w:r>
              <w:r>
                <w:rPr>
                  <w:rStyle w:val="Hyperlink"/>
                  <w:rFonts w:ascii="PT Astra Serif" w:hAnsi="PT Astra Serif"/>
                </w:rPr>
                <w:t>.</w:t>
              </w:r>
              <w:r>
                <w:rPr>
                  <w:rStyle w:val="Hyperlink"/>
                  <w:rFonts w:ascii="PT Astra Serif" w:hAnsi="PT Astra Serif"/>
                  <w:lang w:val="en-US"/>
                </w:rPr>
                <w:t>tula</w:t>
              </w:r>
              <w:r>
                <w:rPr>
                  <w:rStyle w:val="Hyperlink"/>
                  <w:rFonts w:ascii="PT Astra Serif" w:hAnsi="PT Astra Serif"/>
                </w:rPr>
                <w:t>.</w:t>
              </w:r>
              <w:r>
                <w:rPr>
                  <w:rStyle w:val="Hyperlink"/>
                  <w:rFonts w:ascii="PT Astra Serif" w:hAnsi="PT Astra Serif"/>
                  <w:lang w:val="en-US"/>
                </w:rPr>
                <w:t>ru</w:t>
              </w:r>
            </w:hyperlink>
            <w:r>
              <w:rPr>
                <w:rFonts w:ascii="PT Astra Serif" w:hAnsi="PT Astra Serif"/>
              </w:rPr>
              <w:t>.</w:t>
            </w:r>
          </w:p>
          <w:p>
            <w:pPr>
              <w:pStyle w:val="Normal"/>
              <w:keepNext w:val="true"/>
              <w:keepLines/>
              <w:widowControl w:val="false"/>
              <w:suppressLineNumbers/>
              <w:rPr>
                <w:rFonts w:ascii="PT Astra Serif" w:hAnsi="PT Astra Serif"/>
              </w:rPr>
            </w:pPr>
            <w:r>
              <w:rPr>
                <w:rFonts w:ascii="PT Astra Serif" w:hAnsi="PT Astra Serif"/>
                <w:b/>
              </w:rPr>
              <w:t>Телефон:</w:t>
            </w:r>
            <w:r>
              <w:rPr>
                <w:rFonts w:ascii="PT Astra Serif" w:hAnsi="PT Astra Serif"/>
              </w:rPr>
              <w:t xml:space="preserve"> 52-07-00 доб. 735, 738</w:t>
            </w:r>
          </w:p>
          <w:p>
            <w:pPr>
              <w:pStyle w:val="Normal"/>
              <w:keepNext w:val="true"/>
              <w:keepLines/>
              <w:widowControl w:val="false"/>
              <w:suppressLineNumbers/>
              <w:rPr>
                <w:rFonts w:ascii="PT Astra Serif" w:hAnsi="PT Astra Serif"/>
              </w:rPr>
            </w:pPr>
            <w:r>
              <w:rPr>
                <w:rFonts w:ascii="PT Astra Serif" w:hAnsi="PT Astra Serif"/>
                <w:b/>
              </w:rPr>
              <w:t>Место проведения аукциона</w:t>
            </w:r>
            <w:r>
              <w:rPr>
                <w:rFonts w:ascii="PT Astra Serif" w:hAnsi="PT Astra Serif"/>
              </w:rPr>
              <w:t xml:space="preserve">: электронная площадка – универсальная торговая платформа АО «Сбербанк - АСТ», размещенная на сайте </w:t>
            </w:r>
            <w:hyperlink r:id="rId3">
              <w:r>
                <w:rPr>
                  <w:rStyle w:val="Hyperlink"/>
                  <w:rFonts w:ascii="PT Astra Serif" w:hAnsi="PT Astra Serif"/>
                </w:rPr>
                <w:t>http://utp.sberbank-ast.ru</w:t>
              </w:r>
            </w:hyperlink>
            <w:r>
              <w:rPr>
                <w:rFonts w:ascii="PT Astra Serif" w:hAnsi="PT Astra Serif"/>
              </w:rPr>
              <w:t xml:space="preserve"> в сети Интернет (торговая секция «Приватизация, аренда и продажа прав»)</w:t>
            </w:r>
          </w:p>
          <w:p>
            <w:pPr>
              <w:pStyle w:val="Normal"/>
              <w:keepNext w:val="true"/>
              <w:keepLines/>
              <w:widowControl w:val="false"/>
              <w:suppressLineNumbers/>
              <w:rPr>
                <w:rFonts w:ascii="PT Astra Serif" w:hAnsi="PT Astra Serif"/>
              </w:rPr>
            </w:pPr>
            <w:r>
              <w:rPr>
                <w:rFonts w:ascii="PT Astra Serif" w:hAnsi="PT Astra Serif"/>
                <w:b/>
              </w:rPr>
              <w:t xml:space="preserve">Контактное лицо: </w:t>
            </w:r>
            <w:r>
              <w:rPr>
                <w:rFonts w:ascii="PT Astra Serif" w:hAnsi="PT Astra Serif"/>
              </w:rPr>
              <w:t>Ломакин Дмитрий Яковлевич,</w:t>
            </w:r>
          </w:p>
          <w:p>
            <w:pPr>
              <w:pStyle w:val="Normal"/>
              <w:keepNext w:val="true"/>
              <w:keepLines/>
              <w:widowControl w:val="false"/>
              <w:suppressLineNumbers/>
              <w:rPr>
                <w:rFonts w:ascii="PT Astra Serif" w:hAnsi="PT Astra Serif"/>
              </w:rPr>
            </w:pPr>
            <w:r>
              <w:rPr>
                <w:rFonts w:ascii="PT Astra Serif" w:hAnsi="PT Astra Serif"/>
              </w:rPr>
              <w:t>Лепилова Елена Николаевна</w:t>
            </w:r>
          </w:p>
          <w:p>
            <w:pPr>
              <w:pStyle w:val="Normal"/>
              <w:keepNext w:val="true"/>
              <w:keepLines/>
              <w:widowControl w:val="false"/>
              <w:suppressLineNumbers/>
              <w:rPr>
                <w:rFonts w:ascii="PT Astra Serif" w:hAnsi="PT Astra Serif"/>
              </w:rPr>
            </w:pPr>
            <w:r>
              <w:rPr>
                <w:rFonts w:ascii="PT Astra Serif" w:hAnsi="PT Astra Serif"/>
                <w:b/>
                <w:bCs/>
              </w:rPr>
              <w:t>Контактное лицо для осмотра объектов недвижимости:</w:t>
            </w:r>
            <w:r>
              <w:rPr>
                <w:rFonts w:ascii="PT Astra Serif" w:hAnsi="PT Astra Serif"/>
              </w:rPr>
              <w:t xml:space="preserve"> 75-90-34, доб. 777, 744 - Иваничев Алексей Петрович – начальник отдела имущественных отношений комитета имущественных и земельных отношений администрации города Тулы; Курилова Екатерина Александровна – заместитель начальника отдела имущественных отношений комитета имущественных и земельных отношений администрации города Тулы.</w:t>
            </w:r>
          </w:p>
        </w:tc>
      </w:tr>
      <w:tr>
        <w:trPr>
          <w:trHeight w:val="1602"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2.</w:t>
            </w:r>
          </w:p>
          <w:p>
            <w:pPr>
              <w:pStyle w:val="Normal"/>
              <w:jc w:val="center"/>
              <w:rPr>
                <w:rFonts w:ascii="PT Astra Serif" w:hAnsi="PT Astra Serif"/>
                <w:b/>
                <w:bCs/>
              </w:rPr>
            </w:pPr>
            <w:r>
              <w:rPr>
                <w:rFonts w:ascii="PT Astra Serif" w:hAnsi="PT Astra Serif"/>
                <w:b/>
                <w:bCs/>
              </w:rPr>
            </w:r>
          </w:p>
        </w:tc>
        <w:tc>
          <w:tcPr>
            <w:tcW w:w="2987" w:type="dxa"/>
            <w:vMerge w:val="restart"/>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b/>
              </w:rPr>
              <w:t>Место расположения, описание и технические характеристики муниципального имущества, права на которое передаются по договору</w:t>
            </w:r>
          </w:p>
        </w:tc>
        <w:tc>
          <w:tcPr>
            <w:tcW w:w="6381" w:type="dxa"/>
            <w:tcBorders>
              <w:top w:val="single" w:sz="4" w:space="0" w:color="000000"/>
              <w:left w:val="single" w:sz="4" w:space="0" w:color="000000"/>
              <w:right w:val="single" w:sz="4" w:space="0" w:color="000000"/>
            </w:tcBorders>
          </w:tcPr>
          <w:p>
            <w:pPr>
              <w:pStyle w:val="Normal"/>
              <w:widowControl w:val="false"/>
              <w:spacing w:lineRule="exact" w:line="226"/>
              <w:jc w:val="both"/>
              <w:rPr>
                <w:rFonts w:ascii="PT Astra Serif" w:hAnsi="PT Astra Serif"/>
              </w:rPr>
            </w:pPr>
            <w:r>
              <w:rPr>
                <w:rFonts w:ascii="PT Astra Serif" w:hAnsi="PT Astra Serif"/>
                <w:lang w:eastAsia="en-US"/>
              </w:rPr>
              <w:t>Лот</w:t>
            </w:r>
            <w:r>
              <w:rPr>
                <w:rFonts w:ascii="PT Astra Serif" w:hAnsi="PT Astra Serif"/>
                <w:spacing w:val="-5"/>
                <w:lang w:eastAsia="en-US"/>
              </w:rPr>
              <w:t xml:space="preserve"> 1:</w:t>
            </w:r>
          </w:p>
          <w:p>
            <w:pPr>
              <w:pStyle w:val="Normal"/>
              <w:spacing w:lineRule="auto" w:line="209"/>
              <w:jc w:val="both"/>
              <w:rPr>
                <w:rFonts w:ascii="PT Astra Serif" w:hAnsi="PT Astra Serif"/>
              </w:rPr>
            </w:pPr>
            <w:r>
              <w:rPr>
                <w:rFonts w:eastAsia="Calibri" w:ascii="PT Astra Serif" w:hAnsi="PT Astra Serif"/>
                <w:lang w:eastAsia="en-US"/>
              </w:rPr>
              <w:t>Нежилое помещение II с кадастровым номером 71:30:020621:8627, этаж № подвал, площадью 316,6 кв. м, номера на поэтажном плане: 1-23, расположенное по адресу: Тульская область, г. Тула, Привокзальный район, ул. Макаренко, д. 19, корп. 2, нежилое помещение II</w:t>
            </w:r>
          </w:p>
        </w:tc>
      </w:tr>
      <w:tr>
        <w:trPr>
          <w:trHeight w:val="1424" w:hRule="atLeast"/>
        </w:trPr>
        <w:tc>
          <w:tcPr>
            <w:tcW w:w="805" w:type="dxa"/>
            <w:tcBorders>
              <w:left w:val="single" w:sz="4" w:space="0" w:color="000000"/>
              <w:right w:val="single" w:sz="4" w:space="0" w:color="000000"/>
            </w:tcBorders>
          </w:tcPr>
          <w:p>
            <w:pPr>
              <w:pStyle w:val="Normal"/>
              <w:jc w:val="center"/>
              <w:rPr>
                <w:rFonts w:ascii="PT Astra Serif" w:hAnsi="PT Astra Serif"/>
              </w:rPr>
            </w:pPr>
            <w:r>
              <w:rPr>
                <w:rFonts w:ascii="PT Astra Serif" w:hAnsi="PT Astra Serif"/>
              </w:rPr>
            </w:r>
          </w:p>
        </w:tc>
        <w:tc>
          <w:tcPr>
            <w:tcW w:w="2987" w:type="dxa"/>
            <w:vMerge w:val="continue"/>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rPr>
            </w:r>
          </w:p>
        </w:tc>
        <w:tc>
          <w:tcPr>
            <w:tcW w:w="6381" w:type="dxa"/>
            <w:tcBorders>
              <w:left w:val="single" w:sz="4" w:space="0" w:color="000000"/>
              <w:right w:val="single" w:sz="4" w:space="0" w:color="000000"/>
            </w:tcBorders>
          </w:tcPr>
          <w:p>
            <w:pPr>
              <w:pStyle w:val="Normal"/>
              <w:widowControl w:val="false"/>
              <w:spacing w:lineRule="exact" w:line="226"/>
              <w:jc w:val="both"/>
              <w:rPr>
                <w:rFonts w:ascii="PT Astra Serif" w:hAnsi="PT Astra Serif"/>
              </w:rPr>
            </w:pPr>
            <w:r>
              <w:rPr>
                <w:rFonts w:ascii="PT Astra Serif" w:hAnsi="PT Astra Serif"/>
              </w:rPr>
              <w:t>Лот 2:</w:t>
            </w:r>
          </w:p>
          <w:p>
            <w:pPr>
              <w:pStyle w:val="Normal"/>
              <w:widowControl w:val="false"/>
              <w:spacing w:lineRule="exact" w:line="226"/>
              <w:jc w:val="both"/>
              <w:rPr>
                <w:rFonts w:ascii="PT Astra Serif" w:hAnsi="PT Astra Serif"/>
              </w:rPr>
            </w:pPr>
            <w:r>
              <w:rPr>
                <w:rFonts w:ascii="PT Astra Serif" w:hAnsi="PT Astra Serif"/>
              </w:rPr>
              <w:t>Нежилое помещение с кадастровым номером 71:30:050106:3309, этаж № 1, площадью 204,2 кв. м, номера на поэтажном плане: 11-26, расположенное по адресу: Тульская область, город Тула, улица Новомосковская, дом № 9, помещение 2</w:t>
            </w:r>
          </w:p>
        </w:tc>
      </w:tr>
      <w:tr>
        <w:trPr>
          <w:trHeight w:val="1424" w:hRule="atLeast"/>
        </w:trPr>
        <w:tc>
          <w:tcPr>
            <w:tcW w:w="805" w:type="dxa"/>
            <w:tcBorders>
              <w:left w:val="single" w:sz="4" w:space="0" w:color="000000"/>
              <w:right w:val="single" w:sz="4" w:space="0" w:color="000000"/>
            </w:tcBorders>
          </w:tcPr>
          <w:p>
            <w:pPr>
              <w:pStyle w:val="Normal"/>
              <w:jc w:val="center"/>
              <w:rPr>
                <w:rFonts w:ascii="PT Astra Serif" w:hAnsi="PT Astra Serif"/>
              </w:rPr>
            </w:pPr>
            <w:r>
              <w:rPr>
                <w:rFonts w:ascii="PT Astra Serif" w:hAnsi="PT Astra Serif"/>
              </w:rPr>
            </w:r>
          </w:p>
        </w:tc>
        <w:tc>
          <w:tcPr>
            <w:tcW w:w="2987" w:type="dxa"/>
            <w:vMerge w:val="continue"/>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rPr>
            </w:r>
          </w:p>
        </w:tc>
        <w:tc>
          <w:tcPr>
            <w:tcW w:w="6381" w:type="dxa"/>
            <w:tcBorders>
              <w:left w:val="single" w:sz="4" w:space="0" w:color="000000"/>
              <w:right w:val="single" w:sz="4" w:space="0" w:color="000000"/>
            </w:tcBorders>
          </w:tcPr>
          <w:p>
            <w:pPr>
              <w:pStyle w:val="Normal"/>
              <w:widowControl w:val="false"/>
              <w:spacing w:lineRule="exact" w:line="226"/>
              <w:jc w:val="both"/>
              <w:rPr>
                <w:rFonts w:ascii="PT Astra Serif" w:hAnsi="PT Astra Serif"/>
              </w:rPr>
            </w:pPr>
            <w:r>
              <w:rPr>
                <w:rFonts w:ascii="PT Astra Serif" w:hAnsi="PT Astra Serif"/>
              </w:rPr>
              <w:t>Лот 3:</w:t>
            </w:r>
          </w:p>
          <w:p>
            <w:pPr>
              <w:pStyle w:val="Normal"/>
              <w:widowControl w:val="false"/>
              <w:spacing w:lineRule="exact" w:line="226"/>
              <w:jc w:val="both"/>
              <w:rPr>
                <w:rFonts w:ascii="PT Astra Serif" w:hAnsi="PT Astra Serif"/>
              </w:rPr>
            </w:pPr>
            <w:r>
              <w:rPr>
                <w:rFonts w:ascii="PT Astra Serif" w:hAnsi="PT Astra Serif"/>
              </w:rPr>
              <w:t>Нежилое помещение с кадастровым номером 71:14:030810:488, этаж № 2, площадью 31,1 кв. м, расположенное по адресу: Российская Федерация, Тульская обл., Ленинский р-н, с/п Ильинское, п. Прилепы, ул. Буденого, д. 7, пом. 6</w:t>
            </w:r>
          </w:p>
        </w:tc>
      </w:tr>
      <w:tr>
        <w:trPr>
          <w:trHeight w:val="1542"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3.</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bCs/>
              </w:rPr>
              <w:t>Целевое назначение муниципального имущества, права на которое передаются по договору</w:t>
            </w:r>
          </w:p>
          <w:p>
            <w:pPr>
              <w:pStyle w:val="Normal"/>
              <w:rPr>
                <w:rFonts w:ascii="PT Astra Serif" w:hAnsi="PT Astra Serif"/>
                <w:b/>
              </w:rPr>
            </w:pPr>
            <w:r>
              <w:rPr>
                <w:rFonts w:ascii="PT Astra Serif" w:hAnsi="PT Astra Serif"/>
                <w:b/>
              </w:rPr>
            </w:r>
          </w:p>
        </w:tc>
        <w:tc>
          <w:tcPr>
            <w:tcW w:w="6381" w:type="dxa"/>
            <w:tcBorders>
              <w:top w:val="single" w:sz="4" w:space="0" w:color="000000"/>
              <w:left w:val="single" w:sz="4" w:space="0" w:color="000000"/>
              <w:bottom w:val="single" w:sz="4" w:space="0" w:color="000000"/>
              <w:right w:val="single" w:sz="4" w:space="0" w:color="000000"/>
            </w:tcBorders>
          </w:tcPr>
          <w:p>
            <w:pPr>
              <w:pStyle w:val="Normal"/>
              <w:ind w:firstLine="461"/>
              <w:rPr>
                <w:rFonts w:ascii="PT Astra Serif" w:hAnsi="PT Astra Serif"/>
              </w:rPr>
            </w:pPr>
            <w:r>
              <w:rPr>
                <w:rFonts w:eastAsia="Calibri" w:ascii="PT Astra Serif" w:hAnsi="PT Astra Serif"/>
                <w:lang w:eastAsia="en-US"/>
              </w:rPr>
              <w:t xml:space="preserve">Лот 1 - </w:t>
            </w:r>
            <w:r>
              <w:rPr>
                <w:rFonts w:eastAsia="Calibri" w:ascii="PT Astra Serif" w:hAnsi="PT Astra Serif"/>
                <w:lang w:eastAsia="zh-CN"/>
              </w:rPr>
              <w:t>для использования под офис, торговлю, коммерческую деятельность;</w:t>
            </w:r>
          </w:p>
          <w:p>
            <w:pPr>
              <w:pStyle w:val="Normal"/>
              <w:ind w:firstLine="461"/>
              <w:rPr>
                <w:rFonts w:ascii="PT Astra Serif" w:hAnsi="PT Astra Serif"/>
                <w:lang w:eastAsia="zh-CN"/>
              </w:rPr>
            </w:pPr>
            <w:r>
              <w:rPr>
                <w:rFonts w:ascii="PT Astra Serif" w:hAnsi="PT Astra Serif"/>
                <w:lang w:eastAsia="zh-CN"/>
              </w:rPr>
              <w:t>Лот 2 - для использования под офис, торговлю, коммерческую деятельность;</w:t>
            </w:r>
          </w:p>
          <w:p>
            <w:pPr>
              <w:pStyle w:val="Normal"/>
              <w:ind w:firstLine="461"/>
              <w:rPr>
                <w:rFonts w:ascii="PT Astra Serif" w:hAnsi="PT Astra Serif"/>
                <w:lang w:eastAsia="zh-CN"/>
              </w:rPr>
            </w:pPr>
            <w:r>
              <w:rPr>
                <w:rFonts w:ascii="PT Astra Serif" w:hAnsi="PT Astra Serif"/>
                <w:lang w:eastAsia="zh-CN"/>
              </w:rPr>
              <w:t>Лот 3 - под офис, коммерческую деятельность, парикмахерскую.</w:t>
            </w:r>
          </w:p>
        </w:tc>
      </w:tr>
      <w:tr>
        <w:trPr>
          <w:trHeight w:val="2308"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4.</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bCs/>
              </w:rPr>
              <w:t>Начальная (минимальная) цена договора (цена лота), в размере ежемесячного или ежегодного платежа за право владения или пользования указанным имуществом</w:t>
            </w:r>
          </w:p>
          <w:p>
            <w:pPr>
              <w:pStyle w:val="Normal"/>
              <w:jc w:val="both"/>
              <w:rPr>
                <w:rFonts w:ascii="PT Astra Serif" w:hAnsi="PT Astra Serif"/>
              </w:rPr>
            </w:pPr>
            <w:r>
              <w:rPr>
                <w:rFonts w:ascii="PT Astra Serif" w:hAnsi="PT Astra Serif"/>
                <w:b/>
                <w:bCs/>
              </w:rPr>
              <w:t>(без учета НДС)</w:t>
            </w:r>
          </w:p>
        </w:tc>
        <w:tc>
          <w:tcPr>
            <w:tcW w:w="6381" w:type="dxa"/>
            <w:tcBorders>
              <w:top w:val="single" w:sz="4" w:space="0" w:color="000000"/>
              <w:left w:val="single" w:sz="4" w:space="0" w:color="000000"/>
              <w:bottom w:val="single" w:sz="4" w:space="0" w:color="000000"/>
              <w:right w:val="single" w:sz="4" w:space="0" w:color="000000"/>
            </w:tcBorders>
          </w:tcPr>
          <w:p>
            <w:pPr>
              <w:pStyle w:val="Normal"/>
              <w:widowControl w:val="false"/>
              <w:ind w:firstLine="461"/>
              <w:jc w:val="both"/>
              <w:rPr/>
            </w:pPr>
            <w:r>
              <w:rPr>
                <w:rFonts w:ascii="PT Astra Serif" w:hAnsi="PT Astra Serif"/>
                <w:lang w:eastAsia="en-US"/>
              </w:rPr>
              <w:t>Лот</w:t>
            </w:r>
            <w:r>
              <w:rPr>
                <w:rFonts w:ascii="PT Astra Serif" w:hAnsi="PT Astra Serif"/>
                <w:spacing w:val="40"/>
                <w:lang w:eastAsia="en-US"/>
              </w:rPr>
              <w:t xml:space="preserve"> </w:t>
            </w:r>
            <w:r>
              <w:rPr>
                <w:rFonts w:ascii="PT Astra Serif" w:hAnsi="PT Astra Serif"/>
                <w:lang w:eastAsia="en-US"/>
              </w:rPr>
              <w:t>1</w:t>
            </w:r>
            <w:r>
              <w:rPr>
                <w:rFonts w:ascii="PT Astra Serif" w:hAnsi="PT Astra Serif"/>
                <w:spacing w:val="40"/>
                <w:lang w:eastAsia="en-US"/>
              </w:rPr>
              <w:t xml:space="preserve"> </w:t>
            </w:r>
            <w:r>
              <w:rPr>
                <w:rFonts w:ascii="PT Astra Serif" w:hAnsi="PT Astra Serif"/>
                <w:lang w:eastAsia="en-US"/>
              </w:rPr>
              <w:t>– ежемесячный платеж - 166 004,80 (Сто шестьдесят шесть тысяч четыре) рубля 80 копеек</w:t>
            </w:r>
          </w:p>
          <w:p>
            <w:pPr>
              <w:pStyle w:val="Normal"/>
              <w:widowControl w:val="false"/>
              <w:jc w:val="both"/>
              <w:rPr>
                <w:rFonts w:ascii="PT Astra Serif" w:hAnsi="PT Astra Serif"/>
                <w:lang w:eastAsia="zh-CN"/>
              </w:rPr>
            </w:pPr>
            <w:r>
              <w:rPr>
                <w:rFonts w:ascii="PT Astra Serif" w:hAnsi="PT Astra Serif"/>
                <w:lang w:eastAsia="zh-CN"/>
              </w:rPr>
              <w:t>За 1 кв. м в месяц – 524,34 (Пятьсот двадцать четыре) рубля 34 копейки;</w:t>
            </w:r>
          </w:p>
          <w:p>
            <w:pPr>
              <w:pStyle w:val="Normal"/>
              <w:widowControl w:val="false"/>
              <w:ind w:firstLine="461"/>
              <w:jc w:val="both"/>
              <w:rPr>
                <w:rFonts w:ascii="PT Astra Serif" w:hAnsi="PT Astra Serif"/>
                <w:lang w:eastAsia="en-US"/>
              </w:rPr>
            </w:pPr>
            <w:r>
              <w:rPr>
                <w:rFonts w:ascii="PT Astra Serif" w:hAnsi="PT Astra Serif"/>
                <w:lang w:eastAsia="en-US"/>
              </w:rPr>
              <w:t>Лот 2 - ежемесячный платеж - 122 049,67 (Сто двадцать две тысячи сорок девять) рублей 67 копеек</w:t>
            </w:r>
          </w:p>
          <w:p>
            <w:pPr>
              <w:pStyle w:val="Normal"/>
              <w:widowControl w:val="false"/>
              <w:jc w:val="both"/>
              <w:rPr>
                <w:rFonts w:ascii="PT Astra Serif" w:hAnsi="PT Astra Serif"/>
                <w:lang w:eastAsia="en-US"/>
              </w:rPr>
            </w:pPr>
            <w:r>
              <w:rPr>
                <w:rFonts w:ascii="PT Astra Serif" w:hAnsi="PT Astra Serif"/>
                <w:lang w:eastAsia="en-US"/>
              </w:rPr>
              <w:t>За 1 кв. м в месяц – 597,70 (Пятьсот девяносто семь) рублей 70 копеек;</w:t>
            </w:r>
          </w:p>
          <w:p>
            <w:pPr>
              <w:pStyle w:val="Normal"/>
              <w:widowControl w:val="false"/>
              <w:ind w:firstLine="461"/>
              <w:jc w:val="both"/>
              <w:rPr>
                <w:rFonts w:ascii="PT Astra Serif" w:hAnsi="PT Astra Serif"/>
                <w:lang w:eastAsia="en-US"/>
              </w:rPr>
            </w:pPr>
            <w:r>
              <w:rPr>
                <w:rFonts w:ascii="PT Astra Serif" w:hAnsi="PT Astra Serif"/>
                <w:lang w:eastAsia="en-US"/>
              </w:rPr>
              <w:t>Лот 3 — ежегодный платеж - 171 828 (Сто семьдесят одна тысяча восемьсот двадцать восемь) рублей 00 копеек</w:t>
            </w:r>
          </w:p>
          <w:p>
            <w:pPr>
              <w:pStyle w:val="Normal"/>
              <w:widowControl w:val="false"/>
              <w:jc w:val="both"/>
              <w:rPr>
                <w:rFonts w:ascii="PT Astra Serif" w:hAnsi="PT Astra Serif"/>
                <w:lang w:eastAsia="en-US"/>
              </w:rPr>
            </w:pPr>
            <w:r>
              <w:rPr>
                <w:rFonts w:ascii="PT Astra Serif" w:hAnsi="PT Astra Serif"/>
                <w:lang w:eastAsia="en-US"/>
              </w:rPr>
              <w:t>За 1 кв. м в год — 5 525,02 руб.  (Пять тысяч пятьсот двадцать пять) рублей 02 копейки.</w:t>
            </w:r>
          </w:p>
          <w:p>
            <w:pPr>
              <w:pStyle w:val="Normal"/>
              <w:widowControl w:val="false"/>
              <w:rPr>
                <w:rFonts w:ascii="PT Astra Serif" w:hAnsi="PT Astra Serif"/>
                <w:lang w:eastAsia="en-US"/>
              </w:rPr>
            </w:pPr>
            <w:r>
              <w:rPr>
                <w:rFonts w:ascii="PT Astra Serif" w:hAnsi="PT Astra Serif"/>
                <w:lang w:eastAsia="en-US"/>
              </w:rPr>
            </w:r>
          </w:p>
        </w:tc>
      </w:tr>
      <w:tr>
        <w:trPr>
          <w:trHeight w:val="940"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5.</w:t>
            </w:r>
          </w:p>
        </w:tc>
        <w:tc>
          <w:tcPr>
            <w:tcW w:w="2987" w:type="dxa"/>
            <w:tcBorders>
              <w:top w:val="single" w:sz="4" w:space="0" w:color="000000"/>
              <w:left w:val="single" w:sz="4" w:space="0" w:color="000000"/>
              <w:right w:val="single" w:sz="4" w:space="0" w:color="000000"/>
            </w:tcBorders>
          </w:tcPr>
          <w:p>
            <w:pPr>
              <w:pStyle w:val="Normal"/>
              <w:jc w:val="both"/>
              <w:rPr>
                <w:rFonts w:ascii="PT Astra Serif" w:hAnsi="PT Astra Serif"/>
              </w:rPr>
            </w:pPr>
            <w:r>
              <w:rPr>
                <w:rFonts w:ascii="PT Astra Serif" w:hAnsi="PT Astra Serif"/>
                <w:b/>
                <w:bCs/>
              </w:rPr>
              <w:t>Срок действия договора</w:t>
            </w:r>
          </w:p>
          <w:p>
            <w:pPr>
              <w:pStyle w:val="Normal"/>
              <w:jc w:val="both"/>
              <w:rPr>
                <w:rFonts w:ascii="PT Astra Serif" w:hAnsi="PT Astra Serif"/>
                <w:b/>
                <w:bCs/>
              </w:rPr>
            </w:pPr>
            <w:r>
              <w:rPr>
                <w:rFonts w:ascii="PT Astra Serif" w:hAnsi="PT Astra Serif"/>
                <w:b/>
                <w:bCs/>
              </w:rPr>
            </w:r>
          </w:p>
        </w:tc>
        <w:tc>
          <w:tcPr>
            <w:tcW w:w="6381" w:type="dxa"/>
            <w:tcBorders>
              <w:top w:val="single" w:sz="4" w:space="0" w:color="000000"/>
              <w:left w:val="single" w:sz="4" w:space="0" w:color="000000"/>
              <w:right w:val="single" w:sz="4" w:space="0" w:color="000000"/>
            </w:tcBorders>
          </w:tcPr>
          <w:p>
            <w:pPr>
              <w:pStyle w:val="Normal"/>
              <w:widowControl w:val="false"/>
              <w:shd w:val="clear" w:color="auto" w:fill="FFFFFF"/>
              <w:rPr>
                <w:rFonts w:ascii="PT Astra Serif" w:hAnsi="PT Astra Serif" w:eastAsia="Calibri"/>
                <w:lang w:eastAsia="en-US"/>
              </w:rPr>
            </w:pPr>
            <w:r>
              <w:rPr>
                <w:rFonts w:eastAsia="Calibri" w:ascii="PT Astra Serif" w:hAnsi="PT Astra Serif"/>
                <w:lang w:eastAsia="en-US"/>
              </w:rPr>
              <w:t>Лот 1 - 3 (Три) года;</w:t>
            </w:r>
          </w:p>
          <w:p>
            <w:pPr>
              <w:pStyle w:val="Normal"/>
              <w:widowControl w:val="false"/>
              <w:shd w:val="clear" w:color="auto" w:fill="FFFFFF"/>
              <w:rPr>
                <w:rFonts w:ascii="PT Astra Serif" w:hAnsi="PT Astra Serif" w:eastAsia="Calibri"/>
                <w:lang w:eastAsia="en-US"/>
              </w:rPr>
            </w:pPr>
            <w:r>
              <w:rPr>
                <w:rFonts w:eastAsia="Calibri" w:ascii="PT Astra Serif" w:hAnsi="PT Astra Serif"/>
                <w:lang w:eastAsia="en-US"/>
              </w:rPr>
              <w:t>Лот 2 - 3 (Три) года;</w:t>
            </w:r>
          </w:p>
          <w:p>
            <w:pPr>
              <w:pStyle w:val="Normal"/>
              <w:widowControl w:val="false"/>
              <w:shd w:val="clear" w:color="auto" w:fill="FFFFFF"/>
              <w:rPr>
                <w:rFonts w:ascii="PT Astra Serif" w:hAnsi="PT Astra Serif" w:eastAsia="Calibri"/>
                <w:lang w:eastAsia="en-US"/>
              </w:rPr>
            </w:pPr>
            <w:r>
              <w:rPr>
                <w:rFonts w:eastAsia="Calibri" w:ascii="PT Astra Serif" w:hAnsi="PT Astra Serif"/>
                <w:lang w:eastAsia="en-US"/>
              </w:rPr>
              <w:t>Лот 3 - 3 (Три) года.</w:t>
            </w:r>
          </w:p>
        </w:tc>
      </w:tr>
      <w:tr>
        <w:trPr>
          <w:trHeight w:val="751"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6.</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bCs/>
              </w:rPr>
              <w:t>Имущество имеет следующие обременения</w:t>
            </w:r>
          </w:p>
          <w:p>
            <w:pPr>
              <w:pStyle w:val="Normal"/>
              <w:rPr>
                <w:rFonts w:ascii="PT Astra Serif" w:hAnsi="PT Astra Serif"/>
              </w:rPr>
            </w:pPr>
            <w:r>
              <w:rPr>
                <w:rFonts w:ascii="PT Astra Serif" w:hAnsi="PT Astra Serif"/>
              </w:rPr>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eastAsia="Calibri" w:ascii="PT Astra Serif" w:hAnsi="PT Astra Serif"/>
                <w:lang w:eastAsia="en-US"/>
              </w:rPr>
              <w:t>Обременение отсутствует</w:t>
            </w:r>
          </w:p>
          <w:p>
            <w:pPr>
              <w:pStyle w:val="Normal"/>
              <w:rPr>
                <w:rFonts w:ascii="PT Astra Serif" w:hAnsi="PT Astra Serif"/>
              </w:rPr>
            </w:pPr>
            <w:r>
              <w:rPr>
                <w:rFonts w:ascii="PT Astra Serif" w:hAnsi="PT Astra Serif"/>
              </w:rPr>
            </w:r>
          </w:p>
        </w:tc>
      </w:tr>
      <w:tr>
        <w:trPr>
          <w:trHeight w:val="2308"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7.</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bCs/>
              </w:rPr>
              <w:t>Указание на то, что участниками аукциона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w:t>
            </w:r>
          </w:p>
          <w:p>
            <w:pPr>
              <w:pStyle w:val="Normal"/>
              <w:rPr>
                <w:rFonts w:ascii="PT Astra Serif" w:hAnsi="PT Astra Serif"/>
              </w:rPr>
            </w:pPr>
            <w:r>
              <w:rPr>
                <w:rFonts w:ascii="PT Astra Serif" w:hAnsi="PT Astra Serif"/>
                <w:b/>
                <w:bCs/>
              </w:rPr>
              <w:t>организации, образующие инфраструктуру поддержки субъектов малого и среднего предпринимательства, имеющие право на поддержку органов государственной власти и органов местного самоуправления</w:t>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eastAsia="Calibri" w:ascii="PT Astra Serif" w:hAnsi="PT Astra Serif"/>
                <w:lang w:eastAsia="en-US"/>
              </w:rPr>
              <w:t>Не установлено</w:t>
            </w:r>
          </w:p>
        </w:tc>
      </w:tr>
      <w:tr>
        <w:trPr>
          <w:trHeight w:val="2308"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8.</w:t>
            </w:r>
          </w:p>
        </w:tc>
        <w:tc>
          <w:tcPr>
            <w:tcW w:w="2987" w:type="dxa"/>
            <w:tcBorders>
              <w:top w:val="single" w:sz="4" w:space="0" w:color="000000"/>
              <w:left w:val="single" w:sz="4" w:space="0" w:color="000000"/>
              <w:right w:val="single" w:sz="4" w:space="0" w:color="000000"/>
            </w:tcBorders>
          </w:tcPr>
          <w:p>
            <w:pPr>
              <w:pStyle w:val="Normal"/>
              <w:keepLines/>
              <w:widowControl w:val="false"/>
              <w:suppressLineNumbers/>
              <w:rPr>
                <w:rFonts w:ascii="PT Astra Serif" w:hAnsi="PT Astra Serif"/>
              </w:rPr>
            </w:pPr>
            <w:r>
              <w:rPr>
                <w:rFonts w:ascii="PT Astra Serif" w:hAnsi="PT Astra Serif"/>
                <w:b/>
              </w:rPr>
              <w:t>Порядок подачи заявок на участие в аукционе</w:t>
            </w:r>
          </w:p>
        </w:tc>
        <w:tc>
          <w:tcPr>
            <w:tcW w:w="6381" w:type="dxa"/>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rPr>
              <w:t xml:space="preserve">Заявка на участие в аукционе подается в срок и по форме, которые установлены документацией об аукционе. </w:t>
              <w:br/>
              <w:t>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pPr>
              <w:pStyle w:val="Normal"/>
              <w:rPr>
                <w:rFonts w:ascii="PT Astra Serif" w:hAnsi="PT Astra Serif"/>
              </w:rPr>
            </w:pPr>
            <w:r>
              <w:rPr>
                <w:rFonts w:ascii="PT Astra Serif" w:hAnsi="PT Astra Serif"/>
              </w:rPr>
              <w:t>Подача заявки на участие в торгах (далее – заявка) может осуществляться лично Претендентом, либо представителем Претендента, зарегистрированным, из Личного кабинета Претендента либо представителя Претендента посредством штатного интерфейса отдельно по каждому лоту в сроки, установленные в извещении.</w:t>
            </w:r>
          </w:p>
          <w:p>
            <w:pPr>
              <w:pStyle w:val="Normal"/>
              <w:rPr>
                <w:rFonts w:ascii="PT Astra Serif" w:hAnsi="PT Astra Serif"/>
              </w:rPr>
            </w:pPr>
            <w:r>
              <w:rPr>
                <w:rFonts w:ascii="PT Astra Serif" w:hAnsi="PT Astra Serif"/>
              </w:rPr>
              <w:t>Заявка подается в виде электронного документа, подписанного электронной подписью Претендента.</w:t>
            </w:r>
          </w:p>
          <w:p>
            <w:pPr>
              <w:pStyle w:val="Normal"/>
              <w:rPr>
                <w:rFonts w:ascii="PT Astra Serif" w:hAnsi="PT Astra Serif"/>
              </w:rPr>
            </w:pPr>
            <w:r>
              <w:rPr>
                <w:rFonts w:ascii="PT Astra Serif" w:hAnsi="PT Astra Serif"/>
              </w:rPr>
              <w:t>Претендент заполняет электронную форму заявки, прикладывает предусмотренные извещением и документацией о торгах файлы документов. Документы и сведения из регистрационных данных пользователя на универсальной торговой платформе, актуальные на дату и время окончания приема заявок, направляются Оператором вместе с заявкой Организатору процедуры после окончания приема заявок.</w:t>
            </w:r>
          </w:p>
          <w:p>
            <w:pPr>
              <w:pStyle w:val="Normal"/>
              <w:rPr>
                <w:rFonts w:ascii="PT Astra Serif" w:hAnsi="PT Astra Serif"/>
              </w:rPr>
            </w:pPr>
            <w:r>
              <w:rPr>
                <w:rFonts w:ascii="PT Astra Serif" w:hAnsi="PT Astra Serif"/>
              </w:rPr>
              <w:t>Претендент вправе подать одну заявку на участие в любой процедуре торгов, извещение о проведении которой размещено.</w:t>
            </w:r>
          </w:p>
          <w:p>
            <w:pPr>
              <w:pStyle w:val="Normal"/>
              <w:rPr>
                <w:rFonts w:ascii="PT Astra Serif" w:hAnsi="PT Astra Serif"/>
              </w:rPr>
            </w:pPr>
            <w:r>
              <w:rPr>
                <w:rFonts w:ascii="PT Astra Serif" w:hAnsi="PT Astra Serif"/>
              </w:rPr>
              <w:t>В случае успешного принятия заявки Оператор программными</w:t>
            </w:r>
          </w:p>
          <w:p>
            <w:pPr>
              <w:pStyle w:val="Normal"/>
              <w:rPr>
                <w:rFonts w:ascii="PT Astra Serif" w:hAnsi="PT Astra Serif"/>
              </w:rPr>
            </w:pPr>
            <w:r>
              <w:rPr>
                <w:rFonts w:ascii="PT Astra Serif" w:hAnsi="PT Astra Serif"/>
              </w:rPr>
              <w:t>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pPr>
              <w:pStyle w:val="Normal"/>
              <w:rPr>
                <w:rFonts w:ascii="PT Astra Serif" w:hAnsi="PT Astra Serif"/>
              </w:rPr>
            </w:pPr>
            <w:r>
              <w:rPr>
                <w:rFonts w:ascii="PT Astra Serif" w:hAnsi="PT Astra Serif"/>
              </w:rPr>
              <w:t>Заявка не может быть принята Оператором в случаях:</w:t>
            </w:r>
          </w:p>
          <w:p>
            <w:pPr>
              <w:pStyle w:val="Normal"/>
              <w:rPr>
                <w:rFonts w:ascii="PT Astra Serif" w:hAnsi="PT Astra Serif"/>
              </w:rPr>
            </w:pPr>
            <w:r>
              <w:rPr>
                <w:rFonts w:ascii="PT Astra Serif" w:hAnsi="PT Astra Serif"/>
              </w:rPr>
              <w:t>а) отсутствия на лицевом счете Претендента достаточной суммы денежных средств в размере задатка;</w:t>
            </w:r>
          </w:p>
          <w:p>
            <w:pPr>
              <w:pStyle w:val="Normal"/>
              <w:rPr>
                <w:rFonts w:ascii="PT Astra Serif" w:hAnsi="PT Astra Serif"/>
              </w:rPr>
            </w:pPr>
            <w:r>
              <w:rPr>
                <w:rFonts w:ascii="PT Astra Serif" w:hAnsi="PT Astra Serif"/>
              </w:rPr>
              <w:t>б)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pPr>
              <w:pStyle w:val="Normal"/>
              <w:rPr>
                <w:rFonts w:ascii="PT Astra Serif" w:hAnsi="PT Astra Serif"/>
              </w:rPr>
            </w:pPr>
            <w:r>
              <w:rPr>
                <w:rFonts w:ascii="PT Astra Serif" w:hAnsi="PT Astra Serif"/>
              </w:rPr>
              <w:t>в) подачи заявки по истечении установленного срока подачи заявок;</w:t>
            </w:r>
          </w:p>
          <w:p>
            <w:pPr>
              <w:pStyle w:val="Normal"/>
              <w:rPr>
                <w:rFonts w:ascii="PT Astra Serif" w:hAnsi="PT Astra Serif"/>
              </w:rPr>
            </w:pPr>
            <w:r>
              <w:rPr>
                <w:rFonts w:ascii="PT Astra Serif" w:hAnsi="PT Astra Serif"/>
              </w:rPr>
              <w:t>г) некорректного заполнения формы заявки, в том числе не заполнения полей, являющихся обязательными для заполнения.</w:t>
            </w:r>
          </w:p>
          <w:p>
            <w:pPr>
              <w:pStyle w:val="Normal"/>
              <w:rPr>
                <w:rFonts w:ascii="PT Astra Serif" w:hAnsi="PT Astra Serif"/>
              </w:rPr>
            </w:pPr>
            <w:r>
              <w:rPr>
                <w:rFonts w:ascii="PT Astra Serif" w:hAnsi="PT Astra Serif"/>
              </w:rPr>
              <w:t>В случае, если система не принимает заявку, Оператор уведомляет Претендента соответствующим системным сообщением о причине непринятия заявки.</w:t>
            </w:r>
          </w:p>
          <w:p>
            <w:pPr>
              <w:pStyle w:val="Normal"/>
              <w:rPr>
                <w:rFonts w:ascii="PT Astra Serif" w:hAnsi="PT Astra Serif"/>
              </w:rPr>
            </w:pPr>
            <w:r>
              <w:rPr>
                <w:rFonts w:ascii="PT Astra Serif" w:hAnsi="PT Astra Serif"/>
              </w:rPr>
              <w:t>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даты окончания срока приема заявок.</w:t>
            </w:r>
          </w:p>
          <w:p>
            <w:pPr>
              <w:pStyle w:val="Normal"/>
              <w:rPr>
                <w:rFonts w:ascii="PT Astra Serif" w:hAnsi="PT Astra Serif"/>
              </w:rPr>
            </w:pPr>
            <w:r>
              <w:rPr>
                <w:rFonts w:ascii="PT Astra Serif" w:hAnsi="PT Astra Serif"/>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pPr>
              <w:pStyle w:val="Normal"/>
              <w:numPr>
                <w:ilvl w:val="0"/>
                <w:numId w:val="0"/>
              </w:numPr>
              <w:ind w:hanging="0" w:left="0"/>
              <w:outlineLvl w:val="1"/>
              <w:rPr>
                <w:rFonts w:ascii="PT Astra Serif" w:hAnsi="PT Astra Serif"/>
              </w:rPr>
            </w:pPr>
            <w:r>
              <w:rPr>
                <w:rFonts w:ascii="PT Astra Serif" w:hAnsi="PT Astra Serif"/>
              </w:rPr>
              <w:t xml:space="preserve"> </w:t>
            </w:r>
            <w:r>
              <w:rPr>
                <w:rFonts w:ascii="PT Astra Serif" w:hAnsi="PT Astra Serif"/>
              </w:rPr>
              <w:t>Прием заявок на участие в аукционе осуществляется до даты и времени окончания срока подачи таких заявок.</w:t>
            </w:r>
          </w:p>
        </w:tc>
      </w:tr>
      <w:tr>
        <w:trPr>
          <w:trHeight w:val="76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9.</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rPr>
              <w:t>Дата начала подачи заявок на участие в аукционе</w:t>
            </w:r>
          </w:p>
        </w:tc>
        <w:tc>
          <w:tcPr>
            <w:tcW w:w="6381"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ascii="PT Astra Serif" w:hAnsi="PT Astra Serif"/>
              </w:rPr>
            </w:pPr>
            <w:r>
              <w:rPr>
                <w:rFonts w:ascii="PT Astra Serif" w:hAnsi="PT Astra Serif"/>
              </w:rPr>
              <w:t xml:space="preserve">Датой начала срока подачи заявок на участие в аукционе является день, следующий за днем размещения на официальном сайте торгов извещения о проведении аукциона: </w:t>
              <w:br/>
            </w:r>
            <w:r>
              <w:rPr>
                <w:rFonts w:ascii="PT Astra Serif" w:hAnsi="PT Astra Serif"/>
                <w:b/>
                <w:bCs/>
              </w:rPr>
              <w:t>11.07.2026 в 9-00 час</w:t>
            </w:r>
          </w:p>
        </w:tc>
      </w:tr>
      <w:tr>
        <w:trPr>
          <w:trHeight w:val="842"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10.</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bCs/>
              </w:rPr>
              <w:t>Дата и время окончания срока подачи заявок на участие в аукционе</w:t>
            </w:r>
          </w:p>
        </w:tc>
        <w:tc>
          <w:tcPr>
            <w:tcW w:w="6381"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rPr>
                <w:rFonts w:ascii="PT Astra Serif" w:hAnsi="PT Astra Serif"/>
              </w:rPr>
            </w:pPr>
            <w:r>
              <w:rPr>
                <w:rFonts w:ascii="PT Astra Serif" w:hAnsi="PT Astra Serif"/>
                <w:b/>
                <w:color w:val="000000"/>
              </w:rPr>
              <w:t>05.08.2026 в 12-00 час.</w:t>
            </w:r>
          </w:p>
        </w:tc>
      </w:tr>
      <w:tr>
        <w:trPr>
          <w:trHeight w:val="1111"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11.</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bCs/>
              </w:rPr>
              <w:t>Место подачи заявок на участие в аукционе является электронная площадка</w:t>
            </w:r>
          </w:p>
        </w:tc>
        <w:tc>
          <w:tcPr>
            <w:tcW w:w="6381"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uppressLineNumbers/>
              <w:rPr>
                <w:rFonts w:ascii="PT Astra Serif" w:hAnsi="PT Astra Serif"/>
              </w:rPr>
            </w:pPr>
            <w:r>
              <w:rPr>
                <w:rFonts w:ascii="PT Astra Serif" w:hAnsi="PT Astra Serif"/>
              </w:rPr>
              <w:t xml:space="preserve">Электронная площадка – универсальная торговая платформа АО «Сбербанк - АСТ», размещенная на сайте </w:t>
            </w:r>
            <w:hyperlink r:id="rId4">
              <w:r>
                <w:rPr>
                  <w:rStyle w:val="Hyperlink"/>
                  <w:rFonts w:ascii="PT Astra Serif" w:hAnsi="PT Astra Serif"/>
                </w:rPr>
                <w:t>http://utp.sberbank-ast.ru</w:t>
              </w:r>
            </w:hyperlink>
            <w:r>
              <w:rPr>
                <w:rFonts w:ascii="PT Astra Serif" w:hAnsi="PT Astra Serif"/>
              </w:rPr>
              <w:t xml:space="preserve"> в сети Интернет (торговая секция «Приватизация, аренда и продажа прав»)</w:t>
            </w:r>
          </w:p>
        </w:tc>
      </w:tr>
      <w:tr>
        <w:trPr>
          <w:trHeight w:val="1657"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12.</w:t>
            </w:r>
          </w:p>
        </w:tc>
        <w:tc>
          <w:tcPr>
            <w:tcW w:w="2987"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PT Astra Serif" w:hAnsi="PT Astra Serif"/>
              </w:rPr>
            </w:pPr>
            <w:r>
              <w:rPr>
                <w:rFonts w:ascii="PT Astra Serif" w:hAnsi="PT Astra Serif"/>
                <w:b/>
              </w:rPr>
              <w:t>Требование о внесении задатка, размер задатка</w:t>
            </w:r>
          </w:p>
        </w:tc>
        <w:tc>
          <w:tcPr>
            <w:tcW w:w="6381" w:type="dxa"/>
            <w:tcBorders>
              <w:top w:val="single" w:sz="4" w:space="0" w:color="000000"/>
              <w:left w:val="single" w:sz="4" w:space="0" w:color="000000"/>
              <w:bottom w:val="single" w:sz="4" w:space="0" w:color="000000"/>
              <w:right w:val="single" w:sz="4" w:space="0" w:color="000000"/>
            </w:tcBorders>
          </w:tcPr>
          <w:p>
            <w:pPr>
              <w:pStyle w:val="Normal"/>
              <w:ind w:firstLine="603"/>
              <w:jc w:val="both"/>
              <w:rPr>
                <w:rFonts w:ascii="PT Astra Serif" w:hAnsi="PT Astra Serif"/>
              </w:rPr>
            </w:pPr>
            <w:r>
              <w:rPr>
                <w:rFonts w:ascii="PT Astra Serif" w:hAnsi="PT Astra Serif"/>
              </w:rPr>
              <w:t>Лот 1</w:t>
            </w:r>
            <w:r>
              <w:rPr>
                <w:rFonts w:ascii="PT Astra Serif" w:hAnsi="PT Astra Serif"/>
                <w:b/>
              </w:rPr>
              <w:t xml:space="preserve"> - </w:t>
            </w:r>
            <w:r>
              <w:rPr>
                <w:rFonts w:ascii="PT Astra Serif" w:hAnsi="PT Astra Serif"/>
                <w:lang w:eastAsia="en-US"/>
              </w:rPr>
              <w:t xml:space="preserve">задаток за участие в аукционе вносится заявителем в размере 10% от начальной (минимальной) цены лота </w:t>
            </w:r>
            <w:r>
              <w:rPr>
                <w:rFonts w:ascii="PT Astra Serif" w:hAnsi="PT Astra Serif"/>
                <w:spacing w:val="-2"/>
                <w:lang w:eastAsia="en-US"/>
              </w:rPr>
              <w:t xml:space="preserve">(договора): </w:t>
            </w:r>
            <w:r>
              <w:rPr>
                <w:rFonts w:ascii="PT Astra Serif" w:hAnsi="PT Astra Serif"/>
                <w:b/>
                <w:spacing w:val="-2"/>
                <w:u w:val="single"/>
                <w:lang w:eastAsia="zh-CN"/>
              </w:rPr>
              <w:t>16 600,48 (Шестнадцать тысяч шестьсот) рублей 48 копеек</w:t>
            </w:r>
          </w:p>
          <w:p>
            <w:pPr>
              <w:pStyle w:val="Normal"/>
              <w:ind w:firstLine="603"/>
              <w:jc w:val="both"/>
              <w:rPr>
                <w:rFonts w:ascii="PT Astra Serif" w:hAnsi="PT Astra Serif"/>
                <w:b/>
                <w:u w:val="single"/>
              </w:rPr>
            </w:pPr>
            <w:r>
              <w:rPr>
                <w:rFonts w:ascii="PT Astra Serif" w:hAnsi="PT Astra Serif"/>
                <w:u w:val="none"/>
              </w:rPr>
              <w:t xml:space="preserve">Лот 2 - </w:t>
            </w:r>
            <w:r>
              <w:rPr>
                <w:rFonts w:ascii="PT Astra Serif" w:hAnsi="PT Astra Serif"/>
                <w:u w:val="none"/>
                <w:lang w:eastAsia="en-US"/>
              </w:rPr>
              <w:t xml:space="preserve">задаток за участие в аукционе вносится заявителем в размере 10% от начальной (минимальной) цены лота </w:t>
            </w:r>
            <w:r>
              <w:rPr>
                <w:rFonts w:ascii="PT Astra Serif" w:hAnsi="PT Astra Serif"/>
                <w:spacing w:val="-2"/>
                <w:u w:val="none"/>
                <w:lang w:eastAsia="en-US"/>
              </w:rPr>
              <w:t>(договора):</w:t>
            </w:r>
            <w:r>
              <w:rPr>
                <w:rFonts w:ascii="PT Astra Serif" w:hAnsi="PT Astra Serif"/>
                <w:b/>
                <w:spacing w:val="-2"/>
                <w:u w:val="none"/>
                <w:lang w:eastAsia="en-US"/>
              </w:rPr>
              <w:t xml:space="preserve"> </w:t>
            </w:r>
            <w:r>
              <w:rPr>
                <w:rFonts w:ascii="PT Astra Serif" w:hAnsi="PT Astra Serif"/>
                <w:b/>
                <w:spacing w:val="-2"/>
                <w:u w:val="single"/>
                <w:lang w:eastAsia="en-US"/>
              </w:rPr>
              <w:t>12 204,97 (Двенадцать тысяч двести четыре) рубля 97 копеек</w:t>
            </w:r>
            <w:r>
              <w:rPr>
                <w:rFonts w:ascii="PT Astra Serif" w:hAnsi="PT Astra Serif"/>
                <w:b/>
                <w:bCs/>
                <w:spacing w:val="-2"/>
                <w:u w:val="single"/>
                <w:lang w:eastAsia="zh-CN"/>
              </w:rPr>
              <w:t>.</w:t>
            </w:r>
          </w:p>
          <w:p>
            <w:pPr>
              <w:pStyle w:val="Normal"/>
              <w:ind w:firstLine="603"/>
              <w:jc w:val="both"/>
              <w:rPr>
                <w:rFonts w:ascii="PT Astra Serif" w:hAnsi="PT Astra Serif"/>
                <w:b/>
                <w:bCs/>
                <w:spacing w:val="-2"/>
                <w:u w:val="single"/>
                <w:lang w:eastAsia="zh-CN"/>
              </w:rPr>
            </w:pPr>
            <w:r>
              <w:rPr>
                <w:rFonts w:ascii="PT Astra Serif" w:hAnsi="PT Astra Serif"/>
                <w:spacing w:val="-2"/>
                <w:u w:val="none"/>
                <w:lang w:eastAsia="zh-CN"/>
              </w:rPr>
              <w:t xml:space="preserve">Лот 3 - </w:t>
            </w:r>
            <w:r>
              <w:rPr>
                <w:rFonts w:ascii="PT Astra Serif" w:hAnsi="PT Astra Serif"/>
                <w:spacing w:val="-2"/>
                <w:u w:val="none"/>
                <w:lang w:eastAsia="en-US"/>
              </w:rPr>
              <w:t>задаток за участие в аукционе вносится заявителем в размере 10% от начальной (минимальной) цены лота (договора):</w:t>
            </w:r>
            <w:r>
              <w:rPr>
                <w:rFonts w:ascii="PT Astra Serif" w:hAnsi="PT Astra Serif"/>
                <w:b/>
                <w:bCs/>
                <w:spacing w:val="-2"/>
                <w:u w:val="none"/>
                <w:lang w:eastAsia="en-US"/>
              </w:rPr>
              <w:t xml:space="preserve"> </w:t>
            </w:r>
            <w:r>
              <w:rPr>
                <w:rFonts w:ascii="PT Astra Serif" w:hAnsi="PT Astra Serif"/>
                <w:b/>
                <w:bCs/>
                <w:spacing w:val="-2"/>
                <w:u w:val="single"/>
                <w:lang w:eastAsia="en-US"/>
              </w:rPr>
              <w:t>17 182,80 руб. (Семнадцать тысяч сто восемьдесят два) рубля 80 копеек</w:t>
            </w:r>
          </w:p>
          <w:p>
            <w:pPr>
              <w:pStyle w:val="TableParagraph"/>
              <w:ind w:firstLine="603" w:left="0"/>
              <w:rPr>
                <w:rFonts w:ascii="PT Astra Serif" w:hAnsi="PT Astra Serif"/>
                <w:b/>
                <w:sz w:val="24"/>
                <w:szCs w:val="24"/>
                <w:u w:val="single"/>
              </w:rPr>
            </w:pPr>
            <w:r>
              <w:rPr>
                <w:rFonts w:ascii="PT Astra Serif" w:hAnsi="PT Astra Serif"/>
                <w:b/>
                <w:sz w:val="24"/>
                <w:szCs w:val="24"/>
                <w:u w:val="single"/>
              </w:rPr>
            </w:r>
          </w:p>
        </w:tc>
      </w:tr>
      <w:tr>
        <w:trPr>
          <w:trHeight w:val="1657"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13.</w:t>
            </w:r>
          </w:p>
        </w:tc>
        <w:tc>
          <w:tcPr>
            <w:tcW w:w="2987" w:type="dxa"/>
            <w:tcBorders>
              <w:top w:val="single" w:sz="4" w:space="0" w:color="000000"/>
              <w:left w:val="single" w:sz="4" w:space="0" w:color="000000"/>
              <w:right w:val="single" w:sz="4" w:space="0" w:color="000000"/>
            </w:tcBorders>
          </w:tcPr>
          <w:p>
            <w:pPr>
              <w:pStyle w:val="Normal"/>
              <w:keepNext w:val="true"/>
              <w:keepLines/>
              <w:widowControl w:val="false"/>
              <w:suppressLineNumbers/>
              <w:rPr>
                <w:rFonts w:ascii="PT Astra Serif" w:hAnsi="PT Astra Serif"/>
              </w:rPr>
            </w:pPr>
            <w:r>
              <w:rPr>
                <w:rFonts w:ascii="PT Astra Serif" w:hAnsi="PT Astra Serif"/>
                <w:b/>
              </w:rPr>
              <w:t>Срок и порядок внесения задатка</w:t>
            </w:r>
          </w:p>
        </w:tc>
        <w:tc>
          <w:tcPr>
            <w:tcW w:w="6381" w:type="dxa"/>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rPr>
              <w:t>Претендент для участия в торгах осуществляет перечисление денежных средств на банковские реквизиты Оператора, размещенные в открытой части универсальной торговой площадке и торговой сессии.</w:t>
            </w:r>
          </w:p>
          <w:p>
            <w:pPr>
              <w:pStyle w:val="Normal"/>
              <w:rPr>
                <w:rFonts w:ascii="PT Astra Serif" w:hAnsi="PT Astra Serif"/>
              </w:rPr>
            </w:pPr>
            <w:r>
              <w:rPr>
                <w:rFonts w:ascii="PT Astra Serif" w:hAnsi="PT Astra Serif"/>
              </w:rPr>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средств в размере задатка.</w:t>
            </w:r>
          </w:p>
          <w:p>
            <w:pPr>
              <w:pStyle w:val="Normal"/>
              <w:rPr>
                <w:rFonts w:ascii="PT Astra Serif" w:hAnsi="PT Astra Serif"/>
              </w:rPr>
            </w:pPr>
            <w:r>
              <w:rPr>
                <w:rFonts w:ascii="PT Astra Serif" w:hAnsi="PT Astra Serif"/>
              </w:rPr>
              <w:t>Денежные средства в сумме задатка должны быть зачислены на лицевой счет Претендента на универсальной торговой площадке до подачи заявки на участие в торгах.</w:t>
            </w:r>
          </w:p>
          <w:p>
            <w:pPr>
              <w:pStyle w:val="Normal"/>
              <w:rPr>
                <w:rFonts w:ascii="PT Astra Serif" w:hAnsi="PT Astra Serif"/>
              </w:rPr>
            </w:pPr>
            <w:r>
              <w:rPr>
                <w:rFonts w:ascii="PT Astra Serif" w:hAnsi="PT Astra Serif"/>
              </w:rPr>
              <w:t>В момент подачи заявки Оператор программными средствами проверяет наличие денежной суммы в размере задатка на лицевом счете Претендента на универсальной торговой площадке и осуществляет блокирование необходимой суммы денежных средств.</w:t>
            </w:r>
          </w:p>
          <w:p>
            <w:pPr>
              <w:pStyle w:val="Normal"/>
              <w:numPr>
                <w:ilvl w:val="0"/>
                <w:numId w:val="0"/>
              </w:numPr>
              <w:ind w:hanging="0" w:left="0"/>
              <w:outlineLvl w:val="3"/>
              <w:rPr>
                <w:rFonts w:ascii="PT Astra Serif" w:hAnsi="PT Astra Serif"/>
              </w:rPr>
            </w:pPr>
            <w:r>
              <w:rPr>
                <w:rFonts w:ascii="PT Astra Serif" w:hAnsi="PT Astra Serif"/>
                <w:bCs/>
              </w:rPr>
              <w:t>Денежные средства, перечисленные за Участника третьим лицом, не зачисляются на счет такого Участника на УТП.</w:t>
            </w:r>
          </w:p>
          <w:p>
            <w:pPr>
              <w:pStyle w:val="Normal"/>
              <w:numPr>
                <w:ilvl w:val="0"/>
                <w:numId w:val="0"/>
              </w:numPr>
              <w:ind w:hanging="0" w:left="0"/>
              <w:outlineLvl w:val="1"/>
              <w:rPr/>
            </w:pPr>
            <w:r>
              <w:rPr>
                <w:rFonts w:ascii="PT Astra Serif" w:hAnsi="PT Astra Serif"/>
                <w:lang w:eastAsia="en-US"/>
              </w:rPr>
              <w:t xml:space="preserve">Образец платежного поручения приведен на электронной площадке по адресу: </w:t>
            </w:r>
            <w:hyperlink r:id="rId5">
              <w:r>
                <w:rPr>
                  <w:rStyle w:val="Hyperlink"/>
                  <w:rFonts w:ascii="PT Astra Serif" w:hAnsi="PT Astra Serif"/>
                  <w:color w:val="auto"/>
                  <w:lang w:eastAsia="en-US"/>
                </w:rPr>
                <w:t>https://utp.sberbank-ast.ru/AP/Notice/653/Requisites</w:t>
              </w:r>
            </w:hyperlink>
          </w:p>
          <w:p>
            <w:pPr>
              <w:pStyle w:val="Normal"/>
              <w:numPr>
                <w:ilvl w:val="0"/>
                <w:numId w:val="0"/>
              </w:numPr>
              <w:ind w:hanging="0" w:left="0"/>
              <w:outlineLvl w:val="1"/>
              <w:rPr>
                <w:rFonts w:ascii="PT Astra Serif" w:hAnsi="PT Astra Serif"/>
              </w:rPr>
            </w:pPr>
            <w:r>
              <w:rPr>
                <w:rFonts w:ascii="PT Astra Serif" w:hAnsi="PT Astra Serif"/>
              </w:rPr>
            </w:r>
          </w:p>
        </w:tc>
      </w:tr>
      <w:tr>
        <w:trPr>
          <w:trHeight w:val="1657"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14.</w:t>
            </w:r>
          </w:p>
        </w:tc>
        <w:tc>
          <w:tcPr>
            <w:tcW w:w="298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uppressLineNumbers/>
              <w:rPr>
                <w:rFonts w:ascii="PT Astra Serif" w:hAnsi="PT Astra Serif"/>
              </w:rPr>
            </w:pPr>
            <w:r>
              <w:rPr>
                <w:rFonts w:ascii="PT Astra Serif" w:hAnsi="PT Astra Serif"/>
                <w:b/>
              </w:rPr>
              <w:t>Реквизиты счета для перечисления задатка</w:t>
            </w:r>
          </w:p>
        </w:tc>
        <w:tc>
          <w:tcPr>
            <w:tcW w:w="6381" w:type="dxa"/>
            <w:tcBorders>
              <w:top w:val="single" w:sz="4" w:space="0" w:color="000000"/>
              <w:left w:val="single" w:sz="4" w:space="0" w:color="000000"/>
              <w:bottom w:val="single" w:sz="4" w:space="0" w:color="000000"/>
              <w:right w:val="single" w:sz="4" w:space="0" w:color="000000"/>
            </w:tcBorders>
          </w:tcPr>
          <w:p>
            <w:pPr>
              <w:pStyle w:val="Normal"/>
              <w:textAlignment w:val="top"/>
              <w:rPr>
                <w:rFonts w:ascii="PT Astra Serif" w:hAnsi="PT Astra Serif"/>
              </w:rPr>
            </w:pPr>
            <w:r>
              <w:rPr>
                <w:rFonts w:ascii="PT Astra Serif" w:hAnsi="PT Astra Serif"/>
                <w:b/>
                <w:bCs/>
              </w:rPr>
              <w:t xml:space="preserve">ПОЛУЧАТЕЛЬ                                                                 </w:t>
            </w:r>
            <w:r>
              <w:rPr>
                <w:rFonts w:ascii="PT Astra Serif" w:hAnsi="PT Astra Serif"/>
              </w:rPr>
              <w:t>Наименование: АО "Сбербанк-АСТ"</w:t>
              <w:br/>
              <w:t>ИНН: 7707308480</w:t>
              <w:br/>
              <w:t>КПП: 770401001</w:t>
              <w:br/>
              <w:t xml:space="preserve">Расчетный счет: 40702810300020038047                                       </w:t>
            </w:r>
            <w:r>
              <w:rPr>
                <w:rFonts w:ascii="PT Astra Serif" w:hAnsi="PT Astra Serif"/>
                <w:b/>
                <w:bCs/>
              </w:rPr>
              <w:t>БАНК ПОЛУЧАТЕЛЯ:</w:t>
            </w:r>
            <w:r>
              <w:rPr>
                <w:rFonts w:ascii="PT Astra Serif" w:hAnsi="PT Astra Serif"/>
              </w:rPr>
              <w:t xml:space="preserve">                                                     Наименование банка: ПАО "СБЕРБАНК РОССИИ"</w:t>
            </w:r>
          </w:p>
          <w:p>
            <w:pPr>
              <w:pStyle w:val="Normal"/>
              <w:textAlignment w:val="top"/>
              <w:rPr>
                <w:rFonts w:ascii="PT Astra Serif" w:hAnsi="PT Astra Serif"/>
              </w:rPr>
            </w:pPr>
            <w:r>
              <w:rPr>
                <w:rFonts w:ascii="PT Astra Serif" w:hAnsi="PT Astra Serif"/>
              </w:rPr>
              <w:t>Г. МОСКВА</w:t>
              <w:br/>
              <w:t>БИК: 044525225</w:t>
              <w:br/>
              <w:t>Корреспондентский счет: 30101810400000000225</w:t>
            </w:r>
          </w:p>
        </w:tc>
      </w:tr>
      <w:tr>
        <w:trPr>
          <w:trHeight w:val="81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15.</w:t>
            </w:r>
          </w:p>
        </w:tc>
        <w:tc>
          <w:tcPr>
            <w:tcW w:w="298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uppressLineNumbers/>
              <w:rPr>
                <w:rFonts w:ascii="PT Astra Serif" w:hAnsi="PT Astra Serif"/>
              </w:rPr>
            </w:pPr>
            <w:r>
              <w:rPr>
                <w:rFonts w:ascii="PT Astra Serif" w:hAnsi="PT Astra Serif"/>
                <w:b/>
              </w:rPr>
              <w:t>Дата и время начала рассмотрения заявок на участие в аукционе</w:t>
            </w:r>
          </w:p>
        </w:tc>
        <w:tc>
          <w:tcPr>
            <w:tcW w:w="6381" w:type="dxa"/>
            <w:tcBorders>
              <w:top w:val="single" w:sz="4" w:space="0" w:color="000000"/>
              <w:left w:val="single" w:sz="4" w:space="0" w:color="000000"/>
              <w:bottom w:val="single" w:sz="4" w:space="0" w:color="000000"/>
              <w:right w:val="single" w:sz="4" w:space="0" w:color="000000"/>
            </w:tcBorders>
          </w:tcPr>
          <w:p>
            <w:pPr>
              <w:pStyle w:val="Normal"/>
              <w:numPr>
                <w:ilvl w:val="0"/>
                <w:numId w:val="0"/>
              </w:numPr>
              <w:ind w:hanging="0" w:left="0"/>
              <w:outlineLvl w:val="1"/>
              <w:rPr>
                <w:rFonts w:ascii="PT Astra Serif" w:hAnsi="PT Astra Serif"/>
              </w:rPr>
            </w:pPr>
            <w:r>
              <w:rPr>
                <w:rFonts w:ascii="PT Astra Serif" w:hAnsi="PT Astra Serif"/>
                <w:b/>
              </w:rPr>
              <w:t>05.08.2026 12-00 час.</w:t>
            </w:r>
          </w:p>
        </w:tc>
      </w:tr>
      <w:tr>
        <w:trPr>
          <w:trHeight w:val="83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16.</w:t>
            </w:r>
          </w:p>
        </w:tc>
        <w:tc>
          <w:tcPr>
            <w:tcW w:w="298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uppressLineNumbers/>
              <w:rPr>
                <w:rFonts w:ascii="PT Astra Serif" w:hAnsi="PT Astra Serif"/>
              </w:rPr>
            </w:pPr>
            <w:r>
              <w:rPr>
                <w:rFonts w:ascii="PT Astra Serif" w:hAnsi="PT Astra Serif"/>
                <w:b/>
              </w:rPr>
              <w:t>Дата и время окончания рассмотрения заявок на участие в аукционе</w:t>
            </w:r>
          </w:p>
        </w:tc>
        <w:tc>
          <w:tcPr>
            <w:tcW w:w="6381" w:type="dxa"/>
            <w:tcBorders>
              <w:top w:val="single" w:sz="4" w:space="0" w:color="000000"/>
              <w:left w:val="single" w:sz="4" w:space="0" w:color="000000"/>
              <w:bottom w:val="single" w:sz="4" w:space="0" w:color="000000"/>
              <w:right w:val="single" w:sz="4" w:space="0" w:color="000000"/>
            </w:tcBorders>
          </w:tcPr>
          <w:p>
            <w:pPr>
              <w:pStyle w:val="Normal"/>
              <w:numPr>
                <w:ilvl w:val="0"/>
                <w:numId w:val="0"/>
              </w:numPr>
              <w:ind w:hanging="0" w:left="0"/>
              <w:outlineLvl w:val="1"/>
              <w:rPr>
                <w:rFonts w:ascii="PT Astra Serif" w:hAnsi="PT Astra Serif"/>
              </w:rPr>
            </w:pPr>
            <w:r>
              <w:rPr>
                <w:rFonts w:ascii="PT Astra Serif" w:hAnsi="PT Astra Serif"/>
                <w:b/>
              </w:rPr>
              <w:t>06.08.2026 в 16-00 час.</w:t>
            </w:r>
          </w:p>
        </w:tc>
      </w:tr>
      <w:tr>
        <w:trPr>
          <w:trHeight w:val="1657"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17.</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bCs/>
              </w:rPr>
              <w:t>Величина повышения начальной цены договора («шаг аукциона»)</w:t>
            </w:r>
          </w:p>
          <w:p>
            <w:pPr>
              <w:pStyle w:val="Normal"/>
              <w:keepNext w:val="true"/>
              <w:keepLines/>
              <w:widowControl w:val="false"/>
              <w:suppressLineNumbers/>
              <w:rPr>
                <w:rFonts w:ascii="PT Astra Serif" w:hAnsi="PT Astra Serif"/>
                <w:b/>
              </w:rPr>
            </w:pPr>
            <w:r>
              <w:rPr>
                <w:rFonts w:ascii="PT Astra Serif" w:hAnsi="PT Astra Serif"/>
                <w:b/>
              </w:rPr>
            </w:r>
          </w:p>
        </w:tc>
        <w:tc>
          <w:tcPr>
            <w:tcW w:w="638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PT Astra Serif" w:hAnsi="PT Astra Serif"/>
                <w:lang w:eastAsia="en-US"/>
              </w:rPr>
            </w:pPr>
            <w:r>
              <w:rPr>
                <w:rFonts w:ascii="PT Astra Serif" w:hAnsi="PT Astra Serif"/>
                <w:lang w:eastAsia="en-US"/>
              </w:rPr>
              <w:t>Устанавливается в размере 5% начальной (минимальной) цены лота и составляет:</w:t>
            </w:r>
          </w:p>
          <w:p>
            <w:pPr>
              <w:pStyle w:val="Normal"/>
              <w:widowControl w:val="false"/>
              <w:jc w:val="both"/>
              <w:rPr>
                <w:rFonts w:ascii="PT Astra Serif" w:hAnsi="PT Astra Serif"/>
              </w:rPr>
            </w:pPr>
            <w:r>
              <w:rPr>
                <w:rFonts w:ascii="PT Astra Serif" w:hAnsi="PT Astra Serif"/>
                <w:lang w:eastAsia="en-US"/>
              </w:rPr>
              <w:t xml:space="preserve">Лот 1: </w:t>
            </w:r>
            <w:r>
              <w:rPr>
                <w:rFonts w:ascii="PT Astra Serif" w:hAnsi="PT Astra Serif"/>
                <w:b/>
                <w:spacing w:val="-2"/>
                <w:lang w:eastAsia="zh-CN"/>
              </w:rPr>
              <w:t>8 300,24 (Восемь тысяч триста) рублей 24 копейки;</w:t>
            </w:r>
          </w:p>
          <w:p>
            <w:pPr>
              <w:pStyle w:val="Normal"/>
              <w:widowControl w:val="false"/>
              <w:jc w:val="both"/>
              <w:rPr>
                <w:rFonts w:ascii="PT Astra Serif" w:hAnsi="PT Astra Serif"/>
              </w:rPr>
            </w:pPr>
            <w:r>
              <w:rPr>
                <w:rFonts w:ascii="PT Astra Serif" w:hAnsi="PT Astra Serif"/>
              </w:rPr>
              <w:t xml:space="preserve">Лот 2: </w:t>
            </w:r>
            <w:r>
              <w:rPr>
                <w:rFonts w:ascii="PT Astra Serif" w:hAnsi="PT Astra Serif"/>
                <w:b/>
                <w:bCs/>
              </w:rPr>
              <w:t>6 102,48 (Шесть тысяч сто два) рубля 48 копеек;</w:t>
            </w:r>
          </w:p>
          <w:p>
            <w:pPr>
              <w:pStyle w:val="Normal"/>
              <w:widowControl w:val="false"/>
              <w:jc w:val="both"/>
              <w:rPr>
                <w:rFonts w:ascii="PT Astra Serif" w:hAnsi="PT Astra Serif"/>
              </w:rPr>
            </w:pPr>
            <w:r>
              <w:rPr>
                <w:rFonts w:ascii="PT Astra Serif" w:hAnsi="PT Astra Serif"/>
              </w:rPr>
              <w:t xml:space="preserve">Лот 3: </w:t>
            </w:r>
            <w:r>
              <w:rPr>
                <w:rFonts w:ascii="PT Astra Serif" w:hAnsi="PT Astra Serif"/>
                <w:b/>
                <w:bCs/>
              </w:rPr>
              <w:t>8 591,40 руб. (Восемь тысяч пятьсот девяносто один) рубль 40 копеек.</w:t>
            </w:r>
          </w:p>
        </w:tc>
      </w:tr>
      <w:tr>
        <w:trPr>
          <w:trHeight w:val="609"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18.</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rPr>
              <w:t>Дата и время начала проведения аукциона</w:t>
            </w:r>
          </w:p>
        </w:tc>
        <w:tc>
          <w:tcPr>
            <w:tcW w:w="6381" w:type="dxa"/>
            <w:tcBorders>
              <w:top w:val="single" w:sz="4" w:space="0" w:color="000000"/>
              <w:left w:val="single" w:sz="4" w:space="0" w:color="000000"/>
              <w:bottom w:val="single" w:sz="4" w:space="0" w:color="000000"/>
              <w:right w:val="single" w:sz="4" w:space="0" w:color="000000"/>
            </w:tcBorders>
          </w:tcPr>
          <w:p>
            <w:pPr>
              <w:pStyle w:val="Normal"/>
              <w:numPr>
                <w:ilvl w:val="0"/>
                <w:numId w:val="0"/>
              </w:numPr>
              <w:ind w:hanging="0" w:left="0"/>
              <w:outlineLvl w:val="1"/>
              <w:rPr>
                <w:rFonts w:ascii="PT Astra Serif" w:hAnsi="PT Astra Serif"/>
              </w:rPr>
            </w:pPr>
            <w:r>
              <w:rPr>
                <w:rFonts w:ascii="PT Astra Serif" w:hAnsi="PT Astra Serif"/>
                <w:b/>
              </w:rPr>
              <w:t>07.08.2026 в 11-00 час.</w:t>
            </w:r>
          </w:p>
        </w:tc>
      </w:tr>
      <w:tr>
        <w:trPr>
          <w:trHeight w:val="1149"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19.</w:t>
            </w:r>
          </w:p>
        </w:tc>
        <w:tc>
          <w:tcPr>
            <w:tcW w:w="2987" w:type="dxa"/>
            <w:tcBorders>
              <w:top w:val="single" w:sz="4" w:space="0" w:color="000000"/>
              <w:left w:val="single" w:sz="4" w:space="0" w:color="000000"/>
              <w:right w:val="single" w:sz="4" w:space="0" w:color="000000"/>
            </w:tcBorders>
          </w:tcPr>
          <w:p>
            <w:pPr>
              <w:pStyle w:val="Normal"/>
              <w:widowControl w:val="false"/>
              <w:rPr>
                <w:rFonts w:ascii="PT Astra Serif" w:hAnsi="PT Astra Serif"/>
              </w:rPr>
            </w:pPr>
            <w:r>
              <w:rPr>
                <w:rFonts w:ascii="PT Astra Serif" w:hAnsi="PT Astra Serif"/>
                <w:b/>
              </w:rPr>
              <w:t>Срок и порядок оплаты по договору</w:t>
            </w:r>
          </w:p>
        </w:tc>
        <w:tc>
          <w:tcPr>
            <w:tcW w:w="6381" w:type="dxa"/>
            <w:tcBorders>
              <w:top w:val="single" w:sz="4" w:space="0" w:color="000000"/>
              <w:left w:val="single" w:sz="4" w:space="0" w:color="000000"/>
              <w:right w:val="single" w:sz="4" w:space="0" w:color="000000"/>
            </w:tcBorders>
          </w:tcPr>
          <w:p>
            <w:pPr>
              <w:pStyle w:val="Normal"/>
              <w:widowControl w:val="false"/>
              <w:rPr>
                <w:rFonts w:ascii="PT Astra Serif" w:hAnsi="PT Astra Serif"/>
              </w:rPr>
            </w:pPr>
            <w:r>
              <w:rPr>
                <w:rFonts w:ascii="PT Astra Serif" w:hAnsi="PT Astra Serif"/>
              </w:rPr>
              <w:t>Арендная плата, установленная в соответствии с Приложением № 2 к договору аренды, перечисляется ежемесячно на расчетный счет Арендодателя не позднее 10 числа месяца, следующего за отчетным, в размере 1/12 части от годового размера.</w:t>
            </w:r>
          </w:p>
          <w:p>
            <w:pPr>
              <w:pStyle w:val="Normal"/>
              <w:widowControl w:val="false"/>
              <w:rPr>
                <w:rFonts w:ascii="PT Astra Serif" w:hAnsi="PT Astra Serif"/>
              </w:rPr>
            </w:pPr>
            <w:r>
              <w:rPr>
                <w:rFonts w:ascii="PT Astra Serif" w:hAnsi="PT Astra Serif"/>
              </w:rPr>
              <w:t>Форма оплаты – безналичный расчет</w:t>
            </w:r>
          </w:p>
        </w:tc>
      </w:tr>
      <w:tr>
        <w:trPr>
          <w:trHeight w:val="751"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20.</w:t>
            </w:r>
          </w:p>
        </w:tc>
        <w:tc>
          <w:tcPr>
            <w:tcW w:w="2987" w:type="dxa"/>
            <w:tcBorders>
              <w:top w:val="single" w:sz="4" w:space="0" w:color="000000"/>
              <w:left w:val="single" w:sz="4" w:space="0" w:color="000000"/>
              <w:right w:val="single" w:sz="4" w:space="0" w:color="000000"/>
            </w:tcBorders>
          </w:tcPr>
          <w:p>
            <w:pPr>
              <w:pStyle w:val="Normal"/>
              <w:jc w:val="both"/>
              <w:rPr>
                <w:rFonts w:ascii="PT Astra Serif" w:hAnsi="PT Astra Serif"/>
              </w:rPr>
            </w:pPr>
            <w:r>
              <w:rPr>
                <w:rFonts w:ascii="PT Astra Serif" w:hAnsi="PT Astra Serif"/>
                <w:b/>
                <w:bCs/>
              </w:rPr>
              <w:t>Срок, в течение которого организатор аукциона вправе отказаться от проведения аукциона</w:t>
            </w:r>
          </w:p>
          <w:p>
            <w:pPr>
              <w:pStyle w:val="Normal"/>
              <w:widowControl w:val="false"/>
              <w:rPr>
                <w:rFonts w:ascii="PT Astra Serif" w:hAnsi="PT Astra Serif"/>
                <w:b/>
              </w:rPr>
            </w:pPr>
            <w:r>
              <w:rPr>
                <w:rFonts w:ascii="PT Astra Serif" w:hAnsi="PT Astra Serif"/>
                <w:b/>
              </w:rPr>
            </w:r>
          </w:p>
        </w:tc>
        <w:tc>
          <w:tcPr>
            <w:tcW w:w="6381" w:type="dxa"/>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rPr>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позднее чем </w:t>
            </w:r>
            <w:r>
              <w:rPr>
                <w:rFonts w:ascii="PT Astra Serif" w:hAnsi="PT Astra Serif"/>
                <w:b/>
                <w:u w:val="single"/>
              </w:rPr>
              <w:t>за пять дней до даты окончания срока подачи заявок на участие в аукционе</w:t>
            </w:r>
            <w:r>
              <w:rPr>
                <w:rFonts w:ascii="PT Astra Serif" w:hAnsi="PT Astra Serif"/>
              </w:rPr>
              <w:t>.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w:t>
            </w:r>
          </w:p>
        </w:tc>
      </w:tr>
      <w:tr>
        <w:trPr>
          <w:trHeight w:val="1657"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21.</w:t>
            </w:r>
          </w:p>
        </w:tc>
        <w:tc>
          <w:tcPr>
            <w:tcW w:w="2987" w:type="dxa"/>
            <w:tcBorders>
              <w:top w:val="single" w:sz="4" w:space="0" w:color="000000"/>
              <w:left w:val="single" w:sz="4" w:space="0" w:color="000000"/>
              <w:right w:val="single" w:sz="4" w:space="0" w:color="000000"/>
            </w:tcBorders>
          </w:tcPr>
          <w:p>
            <w:pPr>
              <w:pStyle w:val="Normal"/>
              <w:jc w:val="both"/>
              <w:rPr>
                <w:rFonts w:ascii="PT Astra Serif" w:hAnsi="PT Astra Serif"/>
              </w:rPr>
            </w:pPr>
            <w:r>
              <w:rPr>
                <w:rFonts w:ascii="PT Astra Serif" w:hAnsi="PT Astra Serif"/>
                <w:b/>
                <w:bCs/>
              </w:rPr>
              <w:t>Срок, в течение которого должен быть подписан проект договора</w:t>
            </w:r>
          </w:p>
          <w:p>
            <w:pPr>
              <w:pStyle w:val="Normal"/>
              <w:widowControl w:val="false"/>
              <w:rPr>
                <w:rFonts w:ascii="PT Astra Serif" w:hAnsi="PT Astra Serif"/>
                <w:b/>
              </w:rPr>
            </w:pPr>
            <w:r>
              <w:rPr>
                <w:rFonts w:ascii="PT Astra Serif" w:hAnsi="PT Astra Serif"/>
                <w:b/>
              </w:rPr>
            </w:r>
          </w:p>
        </w:tc>
        <w:tc>
          <w:tcPr>
            <w:tcW w:w="6381" w:type="dxa"/>
            <w:tcBorders>
              <w:top w:val="single" w:sz="4" w:space="0" w:color="000000"/>
              <w:left w:val="single" w:sz="4" w:space="0" w:color="000000"/>
              <w:right w:val="single" w:sz="4" w:space="0" w:color="000000"/>
            </w:tcBorders>
          </w:tcPr>
          <w:p>
            <w:pPr>
              <w:pStyle w:val="Normal"/>
              <w:widowControl w:val="false"/>
              <w:rPr>
                <w:color w:val="000000"/>
              </w:rPr>
            </w:pPr>
            <w:r>
              <w:rPr>
                <w:rFonts w:ascii="PT Astra Serif" w:hAnsi="PT Astra Serif"/>
                <w:color w:val="000000"/>
              </w:rPr>
              <w:t>Не ранее чем через 10 дней и не позднее 20 дней со дня размещения информации о результатах аукциона на официальном сайте торгов.</w:t>
            </w:r>
          </w:p>
          <w:p>
            <w:pPr>
              <w:pStyle w:val="Normal"/>
              <w:widowControl w:val="false"/>
              <w:rPr>
                <w:rFonts w:ascii="PT Astra Serif" w:hAnsi="PT Astra Serif"/>
              </w:rPr>
            </w:pPr>
            <w:r>
              <w:rPr>
                <w:rFonts w:ascii="PT Astra Serif" w:hAnsi="PT Astra Serif"/>
              </w:rPr>
              <w:t>Организатор аукциона в течение трех рабочих дней с даты подписания протокола подведения итогов передает победителю аукциона (или с даты подписания протокола рассмотрения заявок передает единственному заявителю на участие в аукционе, если заявка соответствует требованиям и условиям, предусмотренным документацией об аукционе, либо единственному участнику аукциона) проект договора, который составляется путем включения цены договора, предложенной победителем аукциона (в случае направления проекта договора единственному заявителю на участие в аукционе или единственному участнику аукциона, то включение цены договора, предусмотренной заявкой на участие в аукционе, но цены не менее начальной (минимальной) цены лота, указанной в извещении о проведении аукциона), в проект договора, прилагаемый к настоящей документации.</w:t>
            </w:r>
          </w:p>
          <w:p>
            <w:pPr>
              <w:pStyle w:val="Normal"/>
              <w:widowControl w:val="false"/>
              <w:rPr>
                <w:rFonts w:ascii="PT Astra Serif" w:hAnsi="PT Astra Serif"/>
              </w:rPr>
            </w:pPr>
            <w:r>
              <w:rPr>
                <w:rFonts w:ascii="PT Astra Serif" w:hAnsi="PT Astra Serif"/>
              </w:rPr>
              <w:t>Заключение договора для единственного заявителя на участие в аукционе, единственного участника аукциона, является обязательным.</w:t>
            </w:r>
          </w:p>
          <w:p>
            <w:pPr>
              <w:pStyle w:val="Normal"/>
              <w:widowControl w:val="false"/>
              <w:rPr>
                <w:rFonts w:ascii="PT Astra Serif" w:hAnsi="PT Astra Serif"/>
              </w:rPr>
            </w:pPr>
            <w:r>
              <w:rPr>
                <w:rFonts w:ascii="PT Astra Serif" w:hAnsi="PT Astra Serif"/>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w:t>
            </w:r>
          </w:p>
          <w:p>
            <w:pPr>
              <w:pStyle w:val="Normal"/>
              <w:rPr>
                <w:rFonts w:ascii="PT Astra Serif" w:hAnsi="PT Astra Serif"/>
              </w:rPr>
            </w:pPr>
            <w:r>
              <w:rPr>
                <w:rFonts w:ascii="PT Astra Serif" w:hAnsi="PT Astra Serif"/>
              </w:rPr>
              <w:t>Примерная форма договора аренды муниципального имущества муниципального образования город Тула, утверждена Постановлением администрации города Тулы от 28.12.2024 № 599 «Об утверждении форм заявлений на согласование передачи, передачу в аренду муниципального имущества и примерной формы договора аренды муниципального имущества муниципального образования город Тула»</w:t>
            </w:r>
            <w:bookmarkStart w:id="2" w:name="_GoBack"/>
            <w:bookmarkEnd w:id="2"/>
          </w:p>
        </w:tc>
      </w:tr>
      <w:tr>
        <w:trPr>
          <w:trHeight w:val="1657"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22.</w:t>
            </w:r>
          </w:p>
        </w:tc>
        <w:tc>
          <w:tcPr>
            <w:tcW w:w="2987" w:type="dxa"/>
            <w:tcBorders>
              <w:top w:val="single" w:sz="4" w:space="0" w:color="000000"/>
              <w:left w:val="single" w:sz="4" w:space="0" w:color="000000"/>
              <w:right w:val="single" w:sz="4" w:space="0" w:color="000000"/>
            </w:tcBorders>
          </w:tcPr>
          <w:p>
            <w:pPr>
              <w:pStyle w:val="Normal"/>
              <w:jc w:val="both"/>
              <w:rPr>
                <w:rFonts w:ascii="PT Astra Serif" w:hAnsi="PT Astra Serif"/>
              </w:rPr>
            </w:pPr>
            <w:r>
              <w:rPr>
                <w:rFonts w:ascii="PT Astra Serif" w:hAnsi="PT Astra Serif"/>
                <w:b/>
                <w:bCs/>
              </w:rPr>
              <w:t>Требования к содержанию, составу и форме заявки на участие в аукционе и инструкция по ее заполнению</w:t>
            </w:r>
          </w:p>
          <w:p>
            <w:pPr>
              <w:pStyle w:val="Normal"/>
              <w:widowControl w:val="false"/>
              <w:rPr>
                <w:rFonts w:ascii="PT Astra Serif" w:hAnsi="PT Astra Serif"/>
                <w:b/>
              </w:rPr>
            </w:pPr>
            <w:r>
              <w:rPr>
                <w:rFonts w:ascii="PT Astra Serif" w:hAnsi="PT Astra Serif"/>
                <w:b/>
              </w:rPr>
            </w:r>
          </w:p>
        </w:tc>
        <w:tc>
          <w:tcPr>
            <w:tcW w:w="6381" w:type="dxa"/>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rPr>
              <w:t>Заявка на участие в аукционе подается в срок и по форме, которые установлены документацией об аукционе.</w:t>
            </w:r>
            <w:bookmarkStart w:id="3" w:name="Par1"/>
            <w:bookmarkEnd w:id="3"/>
            <w:r>
              <w:rPr>
                <w:rFonts w:ascii="PT Astra Serif" w:hAnsi="PT Astra Serif"/>
              </w:rPr>
              <w:t xml:space="preserve">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pPr>
              <w:pStyle w:val="Normal"/>
              <w:rPr>
                <w:rFonts w:ascii="PT Astra Serif" w:hAnsi="PT Astra Serif"/>
              </w:rPr>
            </w:pPr>
            <w:r>
              <w:rPr>
                <w:rFonts w:ascii="PT Astra Serif" w:hAnsi="PT Astra Serif"/>
              </w:rPr>
              <w:t>Заявка на участие в аукционе должна содержать следующие документы и сведения:</w:t>
            </w:r>
            <w:bookmarkStart w:id="4" w:name="Par3"/>
            <w:bookmarkEnd w:id="4"/>
          </w:p>
          <w:p>
            <w:pPr>
              <w:pStyle w:val="Normal"/>
              <w:rPr>
                <w:rFonts w:ascii="PT Astra Serif" w:hAnsi="PT Astra Serif"/>
              </w:rPr>
            </w:pPr>
            <w:r>
              <w:rPr>
                <w:rFonts w:ascii="PT Astra Serif" w:hAnsi="PT Astra Serif"/>
              </w:rPr>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pPr>
              <w:pStyle w:val="Normal"/>
              <w:rPr>
                <w:rFonts w:ascii="PT Astra Serif" w:hAnsi="PT Astra Serif"/>
              </w:rPr>
            </w:pPr>
            <w:r>
              <w:rPr>
                <w:rFonts w:ascii="PT Astra Serif" w:hAnsi="PT Astra Serif"/>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                                                                                    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bookmarkStart w:id="5" w:name="Par6"/>
            <w:bookmarkEnd w:id="5"/>
          </w:p>
          <w:p>
            <w:pPr>
              <w:pStyle w:val="Normal"/>
              <w:rPr>
                <w:rFonts w:ascii="PT Astra Serif" w:hAnsi="PT Astra Serif"/>
              </w:rPr>
            </w:pPr>
            <w:r>
              <w:rPr>
                <w:rFonts w:ascii="PT Astra Serif" w:hAnsi="PT Astra Serif"/>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                                                         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 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                                                                                           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bookmarkStart w:id="6" w:name="Par10"/>
            <w:bookmarkEnd w:id="6"/>
            <w:r>
              <w:rPr>
                <w:rFonts w:ascii="PT Astra Serif" w:hAnsi="PT Astra Serif"/>
              </w:rPr>
              <w:t xml:space="preserve">                                                                                           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pPr>
              <w:pStyle w:val="Normal"/>
              <w:rPr/>
            </w:pPr>
            <w:r>
              <w:rPr>
                <w:rFonts w:ascii="PT Astra Serif" w:hAnsi="PT Astra Serif"/>
              </w:rPr>
              <w:t xml:space="preserve">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w:t>
            </w:r>
            <w:hyperlink r:id="rId6">
              <w:r>
                <w:rPr>
                  <w:rStyle w:val="Style3"/>
                  <w:rFonts w:ascii="PT Astra Serif" w:hAnsi="PT Astra Serif"/>
                </w:rPr>
                <w:t>Постановлением</w:t>
              </w:r>
            </w:hyperlink>
            <w:r>
              <w:rPr>
                <w:rFonts w:ascii="PT Astra Serif" w:hAnsi="PT Astra Serif"/>
              </w:rPr>
              <w:t xml:space="preserve"> № 739;</w:t>
            </w:r>
          </w:p>
          <w:p>
            <w:pPr>
              <w:pStyle w:val="Normal"/>
              <w:rPr/>
            </w:pPr>
            <w:r>
              <w:rPr>
                <w:rFonts w:ascii="PT Astra Serif" w:hAnsi="PT Astra Serif"/>
              </w:rPr>
              <w:t>10) документы или копии документов, подтверждающие внесение задатка.</w:t>
            </w:r>
            <w:bookmarkStart w:id="7" w:name="Par13"/>
            <w:bookmarkEnd w:id="7"/>
            <w:r>
              <w:rPr>
                <w:rFonts w:ascii="PT Astra Serif" w:hAnsi="PT Astra Serif"/>
              </w:rPr>
              <w:t xml:space="preserve"> Информация и документы, предусмотренные </w:t>
            </w:r>
            <w:hyperlink w:anchor="Par3">
              <w:r>
                <w:rPr>
                  <w:rStyle w:val="Style3"/>
                  <w:rFonts w:ascii="PT Astra Serif" w:hAnsi="PT Astra Serif"/>
                </w:rPr>
                <w:t>подпунктами 1</w:t>
              </w:r>
            </w:hyperlink>
            <w:r>
              <w:rPr>
                <w:rFonts w:ascii="PT Astra Serif" w:hAnsi="PT Astra Serif"/>
              </w:rPr>
              <w:t xml:space="preserve"> - </w:t>
            </w:r>
            <w:hyperlink w:anchor="Par6">
              <w:r>
                <w:rPr>
                  <w:rStyle w:val="Style3"/>
                  <w:rFonts w:ascii="PT Astra Serif" w:hAnsi="PT Astra Serif"/>
                </w:rPr>
                <w:t>4</w:t>
              </w:r>
            </w:hyperlink>
            <w:r>
              <w:rPr>
                <w:rFonts w:ascii="PT Astra Serif" w:hAnsi="PT Astra Serif"/>
              </w:rPr>
              <w:t xml:space="preserve"> и 8,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 В случае внесения заявителем изменений в информацию и (или) документы, направление которых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 Перечень документов и сведений, предъявляемых к составу заявки на участие в аукционе является исчерпывающим.</w:t>
            </w:r>
          </w:p>
        </w:tc>
      </w:tr>
      <w:tr>
        <w:trPr>
          <w:trHeight w:val="549"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23.</w:t>
            </w:r>
          </w:p>
        </w:tc>
        <w:tc>
          <w:tcPr>
            <w:tcW w:w="2987" w:type="dxa"/>
            <w:tcBorders>
              <w:top w:val="single" w:sz="4" w:space="0" w:color="000000"/>
              <w:left w:val="single" w:sz="4" w:space="0" w:color="000000"/>
              <w:right w:val="single" w:sz="4" w:space="0" w:color="000000"/>
            </w:tcBorders>
          </w:tcPr>
          <w:p>
            <w:pPr>
              <w:pStyle w:val="Date"/>
              <w:keepNext w:val="true"/>
              <w:keepLines/>
              <w:widowControl w:val="false"/>
              <w:suppressLineNumbers/>
              <w:spacing w:before="0" w:after="0"/>
              <w:rPr>
                <w:rFonts w:ascii="PT Astra Serif" w:hAnsi="PT Astra Serif"/>
              </w:rPr>
            </w:pPr>
            <w:r>
              <w:rPr>
                <w:rFonts w:ascii="PT Astra Serif" w:hAnsi="PT Astra Serif"/>
                <w:b/>
              </w:rPr>
              <w:t>Форма заявки на участие в аукционе</w:t>
            </w:r>
          </w:p>
        </w:tc>
        <w:tc>
          <w:tcPr>
            <w:tcW w:w="6381" w:type="dxa"/>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rPr>
              <w:t>Типовая форма заявки на участие в аукционе представлена в приложении 1 настоящей документации.</w:t>
            </w:r>
          </w:p>
          <w:p>
            <w:pPr>
              <w:pStyle w:val="Normal"/>
              <w:rPr>
                <w:rFonts w:ascii="PT Astra Serif" w:hAnsi="PT Astra Serif"/>
              </w:rPr>
            </w:pPr>
            <w:r>
              <w:rPr>
                <w:rFonts w:ascii="PT Astra Serif" w:hAnsi="PT Astra Serif"/>
                <w:b/>
                <w:u w:val="single"/>
              </w:rPr>
              <w:t>Форма заявки распечатывается, заполняется заявителем, подписывается и преобразуется в электронно-цифровую форму путем сканирования с сохранением их реквизитов.</w:t>
            </w:r>
          </w:p>
        </w:tc>
      </w:tr>
      <w:tr>
        <w:trPr>
          <w:trHeight w:val="120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24.</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rPr>
              <w:t>Порядок пересмотра цены договора (цены лота)</w:t>
            </w:r>
          </w:p>
          <w:p>
            <w:pPr>
              <w:pStyle w:val="Normal"/>
              <w:jc w:val="both"/>
              <w:rPr>
                <w:rFonts w:ascii="PT Astra Serif" w:hAnsi="PT Astra Serif"/>
              </w:rPr>
            </w:pPr>
            <w:r>
              <w:rPr>
                <w:rFonts w:ascii="PT Astra Serif" w:hAnsi="PT Astra Serif"/>
                <w:b/>
                <w:bCs/>
              </w:rPr>
              <w:t>в сторону увеличения</w:t>
            </w:r>
          </w:p>
        </w:tc>
        <w:tc>
          <w:tcPr>
            <w:tcW w:w="638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PT Astra Serif" w:hAnsi="PT Astra Serif"/>
              </w:rPr>
            </w:pPr>
            <w:r>
              <w:rPr>
                <w:rFonts w:ascii="PT Astra Serif" w:hAnsi="PT Astra Serif"/>
              </w:rPr>
              <w:t>По соглашению сторон цена договора (цена лота) может быть изменена в сторону увеличения.</w:t>
            </w:r>
          </w:p>
          <w:p>
            <w:pPr>
              <w:pStyle w:val="Normal"/>
              <w:widowControl w:val="false"/>
              <w:rPr>
                <w:rFonts w:ascii="PT Astra Serif" w:hAnsi="PT Astra Serif"/>
              </w:rPr>
            </w:pPr>
            <w:r>
              <w:rPr>
                <w:rFonts w:ascii="PT Astra Serif" w:hAnsi="PT Astra Serif"/>
              </w:rPr>
              <w:t>Цена заключенного договора не может быть пересмотрена сторонами в сторону уменьшения.</w:t>
            </w:r>
          </w:p>
        </w:tc>
      </w:tr>
      <w:tr>
        <w:trPr>
          <w:trHeight w:val="120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25.</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bCs/>
              </w:rPr>
              <w:t>Порядок передачи прав на имущество, созданное участником аукциона в рамках исполнения договора, заключенного по результатам аукциона, и предназначенное для поставки товаров (выполнения работ, оказания услуг), поставка (выполнение, оказание) которых происходит с использованием имущества, права на которое передаются по договору, в случае, если создание и передача такого имущества предусмотрены договором</w:t>
            </w:r>
          </w:p>
        </w:tc>
        <w:tc>
          <w:tcPr>
            <w:tcW w:w="6381"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PT Astra Serif" w:hAnsi="PT Astra Serif"/>
              </w:rPr>
            </w:pPr>
            <w:r>
              <w:rPr>
                <w:rFonts w:ascii="PT Astra Serif" w:hAnsi="PT Astra Serif"/>
              </w:rPr>
              <w:t>Не предусмотрено</w:t>
            </w:r>
          </w:p>
          <w:p>
            <w:pPr>
              <w:pStyle w:val="Normal"/>
              <w:widowControl w:val="false"/>
              <w:rPr>
                <w:rFonts w:ascii="PT Astra Serif" w:hAnsi="PT Astra Serif"/>
              </w:rPr>
            </w:pPr>
            <w:r>
              <w:rPr>
                <w:rFonts w:ascii="PT Astra Serif" w:hAnsi="PT Astra Serif"/>
              </w:rPr>
            </w:r>
          </w:p>
        </w:tc>
      </w:tr>
      <w:tr>
        <w:trPr>
          <w:trHeight w:val="1200"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26.</w:t>
            </w:r>
          </w:p>
        </w:tc>
        <w:tc>
          <w:tcPr>
            <w:tcW w:w="2987" w:type="dxa"/>
            <w:tcBorders>
              <w:top w:val="single" w:sz="4" w:space="0" w:color="000000"/>
              <w:left w:val="single" w:sz="4" w:space="0" w:color="000000"/>
              <w:right w:val="single" w:sz="4" w:space="0" w:color="000000"/>
            </w:tcBorders>
          </w:tcPr>
          <w:p>
            <w:pPr>
              <w:pStyle w:val="Normal"/>
              <w:jc w:val="both"/>
              <w:rPr>
                <w:rFonts w:ascii="PT Astra Serif" w:hAnsi="PT Astra Serif"/>
              </w:rPr>
            </w:pPr>
            <w:r>
              <w:rPr>
                <w:rFonts w:ascii="PT Astra Serif" w:hAnsi="PT Astra Serif"/>
                <w:b/>
              </w:rPr>
              <w:t>Требования к участникам аукциона</w:t>
            </w:r>
          </w:p>
        </w:tc>
        <w:tc>
          <w:tcPr>
            <w:tcW w:w="6381" w:type="dxa"/>
            <w:tcBorders>
              <w:top w:val="single" w:sz="4" w:space="0" w:color="000000"/>
              <w:left w:val="single" w:sz="4" w:space="0" w:color="000000"/>
              <w:right w:val="single" w:sz="4" w:space="0" w:color="000000"/>
            </w:tcBorders>
          </w:tcPr>
          <w:p>
            <w:pPr>
              <w:pStyle w:val="Normal"/>
              <w:jc w:val="both"/>
              <w:rPr>
                <w:rFonts w:ascii="PT Astra Serif" w:hAnsi="PT Astra Serif"/>
              </w:rPr>
            </w:pPr>
            <w:r>
              <w:rPr>
                <w:rFonts w:ascii="PT Astra Serif" w:hAnsi="PT Astra Serif"/>
              </w:rPr>
              <w:t>Участником аукциона может быть любое юридическое лицо независимо от организационно - 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pPr>
              <w:pStyle w:val="Normal"/>
              <w:jc w:val="both"/>
              <w:rPr>
                <w:rFonts w:ascii="PT Astra Serif" w:hAnsi="PT Astra Serif"/>
              </w:rPr>
            </w:pPr>
            <w:r>
              <w:rPr>
                <w:rFonts w:ascii="PT Astra Serif" w:hAnsi="PT Astra Serif"/>
              </w:rPr>
              <w:t>Участники аукциона должны соответствовать требованиям, установленным законодательством Российской Федерации к таким участникам. При проведении аукционов в соответствии с Постановлением № 739 участники аукциона должны соответствовать требованиям, установленным статьей 5 Федерального закона от 21 декабря 2001 г. N 178-ФЗ «О приватизации государственного и муниципального имущества»</w:t>
            </w:r>
          </w:p>
          <w:p>
            <w:pPr>
              <w:pStyle w:val="Normal"/>
              <w:jc w:val="both"/>
              <w:rPr/>
            </w:pPr>
            <w:r>
              <w:rPr>
                <w:rFonts w:ascii="PT Astra Serif" w:hAnsi="PT Astra Serif"/>
              </w:rPr>
              <w:t xml:space="preserve">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 - телекоммуникационной сети «Интернет» </w:t>
            </w:r>
            <w:hyperlink r:id="rId7">
              <w:r>
                <w:rPr>
                  <w:rStyle w:val="Hyperlink"/>
                  <w:rFonts w:ascii="PT Astra Serif" w:hAnsi="PT Astra Serif"/>
                  <w:color w:val="auto"/>
                </w:rPr>
                <w:t>www.torgi.gov.ru</w:t>
              </w:r>
            </w:hyperlink>
            <w:r>
              <w:rPr>
                <w:rFonts w:ascii="PT Astra Serif" w:hAnsi="PT Astra Serif"/>
              </w:rPr>
              <w:t xml:space="preserve"> (далее - официальный сайт) в соответствии с </w:t>
            </w:r>
            <w:hyperlink r:id="rId8">
              <w:r>
                <w:rPr>
                  <w:rStyle w:val="Style3"/>
                  <w:rFonts w:ascii="PT Astra Serif" w:hAnsi="PT Astra Serif"/>
                </w:rPr>
                <w:t>главой II</w:t>
              </w:r>
            </w:hyperlink>
            <w:r>
              <w:rPr>
                <w:rFonts w:ascii="PT Astra Serif" w:hAnsi="PT Astra Serif"/>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9">
              <w:r>
                <w:rPr>
                  <w:rStyle w:val="Hyperlink"/>
                  <w:rFonts w:ascii="PT Astra Serif" w:hAnsi="PT Astra Serif"/>
                </w:rPr>
                <w:t>www.torgi.gov.ru</w:t>
              </w:r>
            </w:hyperlink>
            <w:r>
              <w:rPr>
                <w:rFonts w:ascii="PT Astra Serif" w:hAnsi="PT Astra Serif"/>
              </w:rPr>
              <w:t>, утвержденного приказом Федерального казначейства от 02.12.2021 № 38н (зарегистрирован Министерством юстиции Российской Федерации 02.12.2021, регистрационный № 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pPr>
              <w:pStyle w:val="Normal"/>
              <w:jc w:val="both"/>
              <w:rPr>
                <w:rFonts w:ascii="PT Astra Serif" w:hAnsi="PT Astra Serif"/>
              </w:rPr>
            </w:pPr>
            <w:r>
              <w:rPr>
                <w:rFonts w:ascii="PT Astra Serif" w:hAnsi="PT Astra Serif"/>
              </w:rPr>
              <w:t xml:space="preserve">Заявка, поданная пользователем, не зарегистрированным </w:t>
              <w:br/>
              <w:t>в Реестре участников торгов, оператором электронной площадки не принимается.</w:t>
            </w:r>
          </w:p>
        </w:tc>
      </w:tr>
      <w:tr>
        <w:trPr>
          <w:trHeight w:val="1200" w:hRule="atLeast"/>
        </w:trPr>
        <w:tc>
          <w:tcPr>
            <w:tcW w:w="805" w:type="dxa"/>
            <w:tcBorders>
              <w:top w:val="single" w:sz="4" w:space="0" w:color="000000"/>
              <w:left w:val="single" w:sz="4" w:space="0" w:color="000000"/>
              <w:right w:val="single" w:sz="4" w:space="0" w:color="000000"/>
            </w:tcBorders>
          </w:tcPr>
          <w:p>
            <w:pPr>
              <w:pStyle w:val="Normal"/>
              <w:jc w:val="center"/>
              <w:rPr>
                <w:rFonts w:ascii="PT Astra Serif" w:hAnsi="PT Astra Serif"/>
              </w:rPr>
            </w:pPr>
            <w:r>
              <w:rPr>
                <w:rFonts w:ascii="PT Astra Serif" w:hAnsi="PT Astra Serif"/>
                <w:bCs/>
              </w:rPr>
              <w:t>27.</w:t>
            </w:r>
          </w:p>
        </w:tc>
        <w:tc>
          <w:tcPr>
            <w:tcW w:w="2987" w:type="dxa"/>
            <w:tcBorders>
              <w:top w:val="single" w:sz="4" w:space="0" w:color="000000"/>
              <w:left w:val="single" w:sz="4" w:space="0" w:color="000000"/>
              <w:right w:val="single" w:sz="4" w:space="0" w:color="000000"/>
            </w:tcBorders>
          </w:tcPr>
          <w:p>
            <w:pPr>
              <w:pStyle w:val="Normal"/>
              <w:rPr>
                <w:rFonts w:ascii="PT Astra Serif" w:hAnsi="PT Astra Serif"/>
              </w:rPr>
            </w:pPr>
            <w:r>
              <w:rPr>
                <w:rFonts w:ascii="PT Astra Serif" w:hAnsi="PT Astra Serif"/>
                <w:b/>
                <w:bCs/>
              </w:rPr>
              <w:t>Формы, порядок, даты начала и окончания срока предоставления заявителям разъяснений положений документации об аукционе</w:t>
            </w:r>
          </w:p>
        </w:tc>
        <w:tc>
          <w:tcPr>
            <w:tcW w:w="6381" w:type="dxa"/>
            <w:tcBorders>
              <w:top w:val="single" w:sz="4" w:space="0" w:color="000000"/>
              <w:left w:val="single" w:sz="4" w:space="0" w:color="000000"/>
              <w:right w:val="single" w:sz="4" w:space="0" w:color="000000"/>
            </w:tcBorders>
          </w:tcPr>
          <w:p>
            <w:pPr>
              <w:pStyle w:val="Normal"/>
              <w:jc w:val="both"/>
              <w:rPr>
                <w:rFonts w:ascii="PT Astra Serif" w:hAnsi="PT Astra Serif"/>
              </w:rPr>
            </w:pPr>
            <w:r>
              <w:rPr>
                <w:rFonts w:cs="PT Astra Serif" w:ascii="PT Astra Serif" w:hAnsi="PT Astra Serif"/>
              </w:rPr>
              <w:t>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настоящей Документацией, с использованием программно-аппаратных средств электронной площадки не более чем три запроса о разъяснении положений конкурсной документации.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конкурса. В течение двух рабочих дней с даты поступления указанного запроса, если указанный запрос поступил к нему не позднее чем за три рабочих дня до даты окончания срока подачи заявок на участие в конкурсе, организатор конкурса формирует с использованием официального сайта, подписывает усиленной квалифицированной подписью лица, уполномоченного действовать от имени организатора конкурса или специализированной организации,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конкурсной документации на официальном сайте оператор электронной площадки размещает указанное разъяснение на электронной площадке. Разъяснение положений конкурсной документации не должно изменять ее суть.</w:t>
            </w:r>
          </w:p>
          <w:p>
            <w:pPr>
              <w:pStyle w:val="Normal"/>
              <w:rPr>
                <w:rFonts w:ascii="PT Astra Serif" w:hAnsi="PT Astra Serif"/>
              </w:rPr>
            </w:pPr>
            <w:r>
              <w:rPr>
                <w:rFonts w:ascii="PT Astra Serif" w:hAnsi="PT Astra Serif"/>
              </w:rPr>
              <w:t>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извещения о проведении аукциона. В течение одного часа с момента размещения изменений в документацию об аукционе на официальном сайте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tc>
      </w:tr>
      <w:tr>
        <w:trPr>
          <w:trHeight w:val="893"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28.</w:t>
            </w:r>
          </w:p>
        </w:tc>
        <w:tc>
          <w:tcPr>
            <w:tcW w:w="2987"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
                <w:bCs/>
              </w:rPr>
              <w:t>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w:t>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rPr>
              <w:t>Не предусмотрено</w:t>
            </w:r>
          </w:p>
        </w:tc>
      </w:tr>
      <w:tr>
        <w:trPr>
          <w:trHeight w:val="120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29.</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bCs/>
              </w:rPr>
              <w:t>Дата, время, график проведения осмотра имущества, права на которое передаются по договору</w:t>
            </w:r>
          </w:p>
          <w:p>
            <w:pPr>
              <w:pStyle w:val="Normal"/>
              <w:rPr>
                <w:rFonts w:ascii="PT Astra Serif" w:hAnsi="PT Astra Serif"/>
                <w:b/>
                <w:bCs/>
              </w:rPr>
            </w:pPr>
            <w:r>
              <w:rPr>
                <w:rFonts w:ascii="PT Astra Serif" w:hAnsi="PT Astra Serif"/>
                <w:b/>
                <w:bCs/>
              </w:rPr>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bCs/>
              </w:rPr>
              <w:t xml:space="preserve">Организатор аукциона обеспечивает осмотр имущества, права на которое передают по договору, в порядке, установленном в документации об аукционе,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но не позднее чем за два рабочих дня до даты окончания срока подачи заявок. </w:t>
            </w:r>
            <w:r>
              <w:rPr>
                <w:rFonts w:ascii="PT Astra Serif" w:hAnsi="PT Astra Serif"/>
              </w:rPr>
              <w:t>По согласованию с организатором в рабочие дни с 09-00 до 18-00, пятница- с 09-00 до 17-00 (обеденный перерыв с 12-30 до 13-18)</w:t>
            </w:r>
          </w:p>
          <w:p>
            <w:pPr>
              <w:pStyle w:val="Normal"/>
              <w:rPr>
                <w:rFonts w:ascii="PT Astra Serif" w:hAnsi="PT Astra Serif"/>
              </w:rPr>
            </w:pPr>
            <w:r>
              <w:rPr>
                <w:rFonts w:ascii="PT Astra Serif" w:hAnsi="PT Astra Serif"/>
              </w:rPr>
            </w:r>
          </w:p>
        </w:tc>
      </w:tr>
      <w:tr>
        <w:trPr>
          <w:trHeight w:val="120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30.</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bCs/>
              </w:rPr>
              <w:t>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pPr>
              <w:pStyle w:val="Normal"/>
              <w:jc w:val="both"/>
              <w:rPr>
                <w:rFonts w:ascii="PT Astra Serif" w:hAnsi="PT Astra Serif"/>
                <w:b/>
                <w:bCs/>
              </w:rPr>
            </w:pPr>
            <w:r>
              <w:rPr>
                <w:rFonts w:ascii="PT Astra Serif" w:hAnsi="PT Astra Serif"/>
                <w:b/>
                <w:bCs/>
              </w:rPr>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rPr>
              <w:t>В случае улучшения состояния арендованного имущества Арендатором, право на такое имущество возникает у муниципального образования город Тула.</w:t>
            </w:r>
          </w:p>
          <w:p>
            <w:pPr>
              <w:pStyle w:val="Normal"/>
              <w:rPr>
                <w:rFonts w:ascii="PT Astra Serif" w:hAnsi="PT Astra Serif"/>
              </w:rPr>
            </w:pPr>
            <w:r>
              <w:rPr>
                <w:rFonts w:ascii="PT Astra Serif" w:hAnsi="PT Astra Serif"/>
              </w:rPr>
              <w:t>На момент окончания срока действия договора аренды техническое состояние муниципального имущества должно быть в том состоянии, в котором Арендатор его получил, с учетом нормального износа или в состоянии, обусловленном договором.</w:t>
            </w:r>
          </w:p>
        </w:tc>
      </w:tr>
      <w:tr>
        <w:trPr>
          <w:trHeight w:val="120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31.</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bCs/>
              </w:rPr>
              <w:t>Порядок и срок отзыва заявок на участие в аукционе</w:t>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tc>
      </w:tr>
      <w:tr>
        <w:trPr>
          <w:trHeight w:val="120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32.</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bCs/>
              </w:rPr>
              <w:t>Копия документа, подтверждающего согласие собственника имущества (а в случае заключения договора субаренды также и арендодателя) на предоставление прав в отношении государственного или муниципального имущества по договору, право на заключение которого является предметом торгов</w:t>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rPr>
            </w:r>
          </w:p>
          <w:p>
            <w:pPr>
              <w:pStyle w:val="Normal"/>
              <w:keepNext w:val="true"/>
              <w:keepLines/>
              <w:widowControl w:val="false"/>
              <w:suppressLineNumbers/>
              <w:rPr>
                <w:rFonts w:ascii="PT Astra Serif" w:hAnsi="PT Astra Serif"/>
              </w:rPr>
            </w:pPr>
            <w:r>
              <w:rPr>
                <w:rFonts w:ascii="PT Astra Serif" w:hAnsi="PT Astra Serif"/>
              </w:rPr>
              <w:t>Согласие не установлено</w:t>
            </w:r>
          </w:p>
        </w:tc>
      </w:tr>
      <w:tr>
        <w:trPr>
          <w:trHeight w:val="1200" w:hRule="atLeast"/>
        </w:trPr>
        <w:tc>
          <w:tcPr>
            <w:tcW w:w="805" w:type="dxa"/>
            <w:tcBorders>
              <w:top w:val="single" w:sz="4" w:space="0" w:color="000000"/>
              <w:left w:val="single" w:sz="4" w:space="0" w:color="000000"/>
              <w:bottom w:val="single" w:sz="4" w:space="0" w:color="000000"/>
              <w:right w:val="single" w:sz="4" w:space="0" w:color="000000"/>
            </w:tcBorders>
          </w:tcPr>
          <w:p>
            <w:pPr>
              <w:pStyle w:val="Normal"/>
              <w:jc w:val="center"/>
              <w:rPr>
                <w:rFonts w:ascii="PT Astra Serif" w:hAnsi="PT Astra Serif"/>
              </w:rPr>
            </w:pPr>
            <w:r>
              <w:rPr>
                <w:rFonts w:ascii="PT Astra Serif" w:hAnsi="PT Astra Serif"/>
                <w:bCs/>
              </w:rPr>
              <w:t>33.</w:t>
            </w:r>
          </w:p>
        </w:tc>
        <w:tc>
          <w:tcPr>
            <w:tcW w:w="2987" w:type="dxa"/>
            <w:tcBorders>
              <w:top w:val="single" w:sz="4" w:space="0" w:color="000000"/>
              <w:left w:val="single" w:sz="4" w:space="0" w:color="000000"/>
              <w:bottom w:val="single" w:sz="4" w:space="0" w:color="000000"/>
              <w:right w:val="single" w:sz="4" w:space="0" w:color="000000"/>
            </w:tcBorders>
          </w:tcPr>
          <w:p>
            <w:pPr>
              <w:pStyle w:val="Normal"/>
              <w:jc w:val="both"/>
              <w:rPr>
                <w:rFonts w:ascii="PT Astra Serif" w:hAnsi="PT Astra Serif"/>
              </w:rPr>
            </w:pPr>
            <w:r>
              <w:rPr>
                <w:rFonts w:ascii="PT Astra Serif" w:hAnsi="PT Astra Serif"/>
                <w:b/>
                <w:bCs/>
              </w:rPr>
              <w:t>Копия документа, подтверждающего согласие собственника имущества (арендодателя) на предоставление лицом, с которым заключается договор, прав в отношении государственного или муниципального имущества третьим лицам, или указание на то, что передача таких прав третьим лицам не допускается;</w:t>
            </w:r>
          </w:p>
        </w:tc>
        <w:tc>
          <w:tcPr>
            <w:tcW w:w="6381" w:type="dxa"/>
            <w:tcBorders>
              <w:top w:val="single" w:sz="4" w:space="0" w:color="000000"/>
              <w:left w:val="single" w:sz="4" w:space="0" w:color="000000"/>
              <w:bottom w:val="single" w:sz="4" w:space="0" w:color="000000"/>
              <w:right w:val="single" w:sz="4" w:space="0" w:color="000000"/>
            </w:tcBorders>
          </w:tcPr>
          <w:p>
            <w:pPr>
              <w:pStyle w:val="Normal"/>
              <w:rPr>
                <w:rFonts w:ascii="PT Astra Serif" w:hAnsi="PT Astra Serif"/>
              </w:rPr>
            </w:pPr>
            <w:r>
              <w:rPr>
                <w:rFonts w:ascii="PT Astra Serif" w:hAnsi="PT Astra Serif"/>
              </w:rPr>
            </w:r>
          </w:p>
          <w:p>
            <w:pPr>
              <w:pStyle w:val="Normal"/>
              <w:keepNext w:val="true"/>
              <w:keepLines/>
              <w:widowControl w:val="false"/>
              <w:suppressLineNumbers/>
              <w:rPr>
                <w:rFonts w:ascii="PT Astra Serif" w:hAnsi="PT Astra Serif"/>
              </w:rPr>
            </w:pPr>
            <w:r>
              <w:rPr>
                <w:rFonts w:ascii="PT Astra Serif" w:hAnsi="PT Astra Serif"/>
                <w:color w:val="000000"/>
                <w:lang w:eastAsia="zh-CN"/>
              </w:rPr>
              <w:t>Лот 1: Письмо о согласии от 30.06.2026 № КииЗО/И-11765;</w:t>
            </w:r>
          </w:p>
          <w:p>
            <w:pPr>
              <w:pStyle w:val="Normal"/>
              <w:widowControl w:val="false"/>
              <w:suppressLineNumbers/>
              <w:rPr>
                <w:rFonts w:ascii="PT Astra Serif" w:hAnsi="PT Astra Serif"/>
                <w:color w:val="000000"/>
                <w:lang w:eastAsia="zh-CN"/>
              </w:rPr>
            </w:pPr>
            <w:r>
              <w:rPr>
                <w:rFonts w:ascii="PT Astra Serif" w:hAnsi="PT Astra Serif"/>
                <w:color w:val="000000"/>
                <w:lang w:eastAsia="zh-CN"/>
              </w:rPr>
              <w:t>Лот 2: Письмо о согласии от 25.06.2026 № КииЗО/И-11601;</w:t>
            </w:r>
          </w:p>
          <w:p>
            <w:pPr>
              <w:pStyle w:val="Normal"/>
              <w:widowControl w:val="false"/>
              <w:suppressLineNumbers/>
              <w:rPr>
                <w:rFonts w:ascii="PT Astra Serif" w:hAnsi="PT Astra Serif"/>
                <w:color w:val="000000"/>
                <w:lang w:eastAsia="zh-CN"/>
              </w:rPr>
            </w:pPr>
            <w:r>
              <w:rPr>
                <w:rFonts w:ascii="PT Astra Serif" w:hAnsi="PT Astra Serif"/>
                <w:color w:val="000000"/>
                <w:lang w:eastAsia="zh-CN"/>
              </w:rPr>
              <w:t>Лот 3: Письмо о согласии от 26.06.2026 № КииЗО/И-11658.</w:t>
            </w:r>
          </w:p>
        </w:tc>
      </w:tr>
    </w:tbl>
    <w:p>
      <w:pPr>
        <w:pStyle w:val="Normal"/>
        <w:widowControl w:val="false"/>
        <w:ind w:firstLine="709"/>
        <w:jc w:val="center"/>
        <w:rPr>
          <w:rFonts w:ascii="PT Astra Serif" w:hAnsi="PT Astra Serif"/>
          <w:b/>
          <w:bCs/>
        </w:rPr>
      </w:pPr>
      <w:r>
        <w:rPr>
          <w:rFonts w:ascii="PT Astra Serif" w:hAnsi="PT Astra Serif"/>
          <w:b/>
          <w:bCs/>
        </w:rPr>
      </w:r>
    </w:p>
    <w:p>
      <w:pPr>
        <w:pStyle w:val="Normal"/>
        <w:widowControl w:val="false"/>
        <w:ind w:firstLine="709"/>
        <w:jc w:val="center"/>
        <w:rPr>
          <w:rFonts w:ascii="PT Astra Serif" w:hAnsi="PT Astra Serif"/>
          <w:b/>
          <w:bCs/>
        </w:rPr>
      </w:pPr>
      <w:r>
        <w:rPr>
          <w:rFonts w:ascii="PT Astra Serif" w:hAnsi="PT Astra Serif"/>
          <w:b/>
          <w:bCs/>
        </w:rPr>
      </w:r>
    </w:p>
    <w:p>
      <w:pPr>
        <w:pStyle w:val="Normal"/>
        <w:widowControl w:val="false"/>
        <w:ind w:firstLine="709"/>
        <w:jc w:val="center"/>
        <w:rPr>
          <w:rFonts w:ascii="PT Astra Serif" w:hAnsi="PT Astra Serif"/>
          <w:b/>
          <w:bCs/>
        </w:rPr>
      </w:pPr>
      <w:r>
        <w:rPr>
          <w:rFonts w:ascii="PT Astra Serif" w:hAnsi="PT Astra Serif"/>
          <w:b/>
          <w:bCs/>
        </w:rPr>
      </w:r>
    </w:p>
    <w:sectPr>
      <w:type w:val="nextPage"/>
      <w:pgSz w:w="11906" w:h="16838"/>
      <w:pgMar w:left="1134" w:right="992" w:gutter="0" w:header="0" w:top="851" w:footer="0" w:bottom="851"/>
      <w:pgNumType w:fmt="decimal"/>
      <w:formProt w:val="false"/>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default"/>
  </w:font>
  <w:font w:name="Arial">
    <w:charset w:val="01"/>
    <w:family w:val="swiss"/>
    <w:pitch w:val="default"/>
  </w:font>
  <w:font w:name="Courier New">
    <w:charset w:val="01"/>
    <w:family w:val="roman"/>
    <w:pitch w:val="default"/>
  </w:font>
  <w:font w:name="PT Astra Serif">
    <w:charset w:val="01"/>
    <w:family w:val="roman"/>
    <w:pitch w:val="default"/>
  </w:font>
  <w:font w:name="Verdana">
    <w:charset w:val="01"/>
    <w:family w:val="swiss"/>
    <w:pitch w:val="default"/>
  </w:font>
  <w:font w:name="Tahoma">
    <w:charset w:val="01"/>
    <w:family w:val="swiss"/>
    <w:pitch w:val="default"/>
  </w:font>
  <w:font w:name="Calibri">
    <w:charset w:val="01"/>
    <w:family w:val="swiss"/>
    <w:pitch w:val="default"/>
  </w:font>
</w:fonts>
</file>

<file path=word/settings.xml><?xml version="1.0" encoding="utf-8"?>
<w:settings xmlns:w="http://schemas.openxmlformats.org/wordprocessingml/2006/main">
  <w:zoom w:percent="140"/>
  <w:defaultTabStop w:val="709"/>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qFormat/>
    <w:rsid w:val="008d5ac8"/>
    <w:pPr>
      <w:keepNext w:val="true"/>
      <w:spacing w:before="240" w:after="60"/>
      <w:outlineLvl w:val="0"/>
    </w:pPr>
    <w:rPr>
      <w:rFonts w:ascii="Arial" w:hAnsi="Arial" w:cs="Arial"/>
      <w:b/>
      <w:bCs/>
      <w:kern w:val="2"/>
      <w:sz w:val="32"/>
      <w:szCs w:val="32"/>
    </w:rPr>
  </w:style>
  <w:style w:type="paragraph" w:styleId="Heading2">
    <w:name w:val="heading 2"/>
    <w:basedOn w:val="Normal"/>
    <w:next w:val="Normal"/>
    <w:qFormat/>
    <w:rsid w:val="008d5ac8"/>
    <w:pPr>
      <w:keepNext w:val="true"/>
      <w:spacing w:before="240" w:after="60"/>
      <w:outlineLvl w:val="1"/>
    </w:pPr>
    <w:rPr>
      <w:rFonts w:ascii="Arial" w:hAnsi="Arial" w:cs="Arial"/>
      <w:b/>
      <w:bCs/>
      <w:i/>
      <w:iCs/>
      <w:sz w:val="28"/>
      <w:szCs w:val="28"/>
    </w:rPr>
  </w:style>
  <w:style w:type="paragraph" w:styleId="Heading3">
    <w:name w:val="heading 3"/>
    <w:basedOn w:val="Normal"/>
    <w:qFormat/>
    <w:rsid w:val="003271be"/>
    <w:pPr>
      <w:spacing w:beforeAutospacing="1" w:afterAutospacing="1"/>
      <w:outlineLvl w:val="2"/>
    </w:pPr>
    <w:rPr>
      <w:b/>
      <w:bCs/>
      <w:sz w:val="27"/>
      <w:szCs w:val="27"/>
    </w:rPr>
  </w:style>
  <w:style w:type="paragraph" w:styleId="Heading4">
    <w:name w:val="heading 4"/>
    <w:basedOn w:val="Normal"/>
    <w:next w:val="Normal"/>
    <w:qFormat/>
    <w:rsid w:val="008d5ac8"/>
    <w:pPr>
      <w:keepNext w:val="true"/>
      <w:spacing w:before="240" w:after="60"/>
      <w:outlineLvl w:val="3"/>
    </w:pPr>
    <w:rPr>
      <w:b/>
      <w:bCs/>
      <w:sz w:val="28"/>
      <w:szCs w:val="28"/>
    </w:rPr>
  </w:style>
  <w:style w:type="paragraph" w:styleId="Heading7">
    <w:name w:val="heading 7"/>
    <w:basedOn w:val="Normal"/>
    <w:next w:val="Normal"/>
    <w:qFormat/>
    <w:rsid w:val="009932dc"/>
    <w:pPr>
      <w:spacing w:before="240" w:after="60"/>
      <w:outlineLvl w:val="6"/>
    </w:pPr>
    <w:rPr/>
  </w:style>
  <w:style w:type="paragraph" w:styleId="Heading8">
    <w:name w:val="heading 8"/>
    <w:basedOn w:val="Normal"/>
    <w:next w:val="Normal"/>
    <w:qFormat/>
    <w:rsid w:val="008d5ac8"/>
    <w:pPr>
      <w:spacing w:before="240" w:after="60"/>
      <w:jc w:val="both"/>
      <w:outlineLvl w:val="7"/>
    </w:pPr>
    <w:rPr>
      <w:i/>
      <w:iCs/>
    </w:rPr>
  </w:style>
  <w:style w:type="character" w:styleId="DefaultParagraphFont" w:default="1">
    <w:name w:val="Default Paragraph Font"/>
    <w:uiPriority w:val="1"/>
    <w:semiHidden/>
    <w:unhideWhenUsed/>
    <w:qFormat/>
    <w:rPr/>
  </w:style>
  <w:style w:type="character" w:styleId="Hyperlink">
    <w:name w:val="Hyperlink"/>
    <w:rsid w:val="008d5ac8"/>
    <w:rPr>
      <w:rFonts w:cs="Times New Roman"/>
      <w:color w:val="0000FF"/>
      <w:u w:val="single"/>
    </w:rPr>
  </w:style>
  <w:style w:type="character" w:styleId="Style8" w:customStyle="1">
    <w:name w:val="Основной текст с отступом Знак"/>
    <w:qFormat/>
    <w:rsid w:val="008d5ac8"/>
    <w:rPr>
      <w:sz w:val="28"/>
      <w:szCs w:val="28"/>
      <w:lang w:val="ru-RU" w:eastAsia="ru-RU" w:bidi="ar-SA"/>
    </w:rPr>
  </w:style>
  <w:style w:type="character" w:styleId="Style9" w:customStyle="1">
    <w:name w:val="Заголовок Знак"/>
    <w:qFormat/>
    <w:rsid w:val="008d5ac8"/>
    <w:rPr>
      <w:rFonts w:cs="Arial"/>
      <w:sz w:val="22"/>
      <w:lang w:val="ru-RU" w:eastAsia="ru-RU" w:bidi="ar-SA"/>
    </w:rPr>
  </w:style>
  <w:style w:type="character" w:styleId="Style10" w:customStyle="1">
    <w:name w:val="Подзаголовок Знак"/>
    <w:qFormat/>
    <w:rsid w:val="008d5ac8"/>
    <w:rPr>
      <w:rFonts w:cs="Arial"/>
      <w:b/>
      <w:sz w:val="28"/>
      <w:lang w:val="ru-RU" w:eastAsia="ru-RU" w:bidi="ar-SA"/>
    </w:rPr>
  </w:style>
  <w:style w:type="character" w:styleId="Style11" w:customStyle="1">
    <w:name w:val="Текст Знак"/>
    <w:link w:val="PlainText"/>
    <w:qFormat/>
    <w:rsid w:val="009b347f"/>
    <w:rPr>
      <w:rFonts w:ascii="Courier New" w:hAnsi="Courier New"/>
      <w:lang w:val="ru-RU" w:eastAsia="ru-RU" w:bidi="ar-SA"/>
    </w:rPr>
  </w:style>
  <w:style w:type="character" w:styleId="iceouttxt1" w:customStyle="1">
    <w:name w:val="iceouttxt1"/>
    <w:qFormat/>
    <w:rsid w:val="00d54c8c"/>
    <w:rPr>
      <w:rFonts w:ascii="Arial" w:hAnsi="Arial" w:cs="Arial"/>
      <w:color w:val="666666"/>
      <w:sz w:val="18"/>
      <w:szCs w:val="18"/>
    </w:rPr>
  </w:style>
  <w:style w:type="character" w:styleId="Strong">
    <w:name w:val="Strong"/>
    <w:uiPriority w:val="22"/>
    <w:qFormat/>
    <w:rsid w:val="00f62601"/>
    <w:rPr>
      <w:b/>
      <w:bCs/>
    </w:rPr>
  </w:style>
  <w:style w:type="character" w:styleId="Style12" w:customStyle="1">
    <w:name w:val="Сноска_"/>
    <w:link w:val="14"/>
    <w:qFormat/>
    <w:rsid w:val="0095282c"/>
    <w:rPr>
      <w:sz w:val="17"/>
      <w:szCs w:val="17"/>
      <w:shd w:fill="FFFFFF" w:val="clear"/>
    </w:rPr>
  </w:style>
  <w:style w:type="character" w:styleId="WW8Num3z6" w:customStyle="1">
    <w:name w:val="WW8Num3z6"/>
    <w:qFormat/>
    <w:rsid w:val="004b71d9"/>
    <w:rPr/>
  </w:style>
  <w:style w:type="character" w:styleId="WW8Num3z8" w:customStyle="1">
    <w:name w:val="WW8Num3z8"/>
    <w:qFormat/>
    <w:rsid w:val="00ed374f"/>
    <w:rPr/>
  </w:style>
  <w:style w:type="paragraph" w:styleId="Style13">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rsid w:val="00cd7373"/>
    <w:pPr>
      <w:spacing w:before="0" w:after="120"/>
    </w:pPr>
    <w:rPr>
      <w:sz w:val="20"/>
      <w:szCs w:val="20"/>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rPr>
  </w:style>
  <w:style w:type="paragraph" w:styleId="Style14">
    <w:name w:val="Указатель"/>
    <w:basedOn w:val="Normal"/>
    <w:qFormat/>
    <w:pPr>
      <w:suppressLineNumbers/>
    </w:pPr>
    <w:rPr>
      <w:rFonts w:ascii="PT Astra Serif" w:hAnsi="PT Astra Serif" w:cs="FreeSans"/>
    </w:rPr>
  </w:style>
  <w:style w:type="paragraph" w:styleId="user" w:customStyle="1">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customStyle="1">
    <w:name w:val="Указатель (user)"/>
    <w:basedOn w:val="Normal"/>
    <w:qFormat/>
    <w:pPr>
      <w:suppressLineNumbers/>
    </w:pPr>
    <w:rPr>
      <w:rFonts w:ascii="PT Astra Serif" w:hAnsi="PT Astra Serif" w:cs="FreeSans"/>
    </w:rPr>
  </w:style>
  <w:style w:type="paragraph" w:styleId="1" w:customStyle="1">
    <w:name w:val="Заголовок1"/>
    <w:basedOn w:val="Normal"/>
    <w:next w:val="BodyText"/>
    <w:qFormat/>
    <w:pPr>
      <w:keepNext w:val="true"/>
      <w:spacing w:before="240" w:after="120"/>
    </w:pPr>
    <w:rPr>
      <w:rFonts w:ascii="PT Astra Serif" w:hAnsi="PT Astra Serif" w:eastAsia="Noto Sans CJK SC" w:cs="FreeSans"/>
      <w:sz w:val="28"/>
      <w:szCs w:val="28"/>
    </w:rPr>
  </w:style>
  <w:style w:type="paragraph" w:styleId="11" w:customStyle="1">
    <w:name w:val="Указатель1"/>
    <w:basedOn w:val="Normal"/>
    <w:qFormat/>
    <w:pPr>
      <w:suppressLineNumbers/>
    </w:pPr>
    <w:rPr>
      <w:rFonts w:ascii="PT Astra Serif" w:hAnsi="PT Astra Serif" w:cs="FreeSans"/>
    </w:rPr>
  </w:style>
  <w:style w:type="paragraph" w:styleId="Title">
    <w:name w:val="Title"/>
    <w:basedOn w:val="Normal"/>
    <w:next w:val="BodyText"/>
    <w:link w:val="Style9"/>
    <w:qFormat/>
    <w:rsid w:val="008d5ac8"/>
    <w:pPr>
      <w:jc w:val="center"/>
    </w:pPr>
    <w:rPr>
      <w:rFonts w:cs="Arial"/>
      <w:sz w:val="22"/>
      <w:szCs w:val="20"/>
    </w:rPr>
  </w:style>
  <w:style w:type="paragraph" w:styleId="IndexHeading">
    <w:name w:val="index heading"/>
    <w:basedOn w:val="Normal"/>
    <w:qFormat/>
    <w:pPr>
      <w:suppressLineNumbers/>
    </w:pPr>
    <w:rPr>
      <w:rFonts w:ascii="PT Astra Serif" w:hAnsi="PT Astra Serif" w:cs="FreeSans"/>
    </w:rPr>
  </w:style>
  <w:style w:type="paragraph" w:styleId="title1" w:customStyle="1">
    <w:name w:val="title1"/>
    <w:basedOn w:val="Normal"/>
    <w:qFormat/>
    <w:rsid w:val="003271be"/>
    <w:pPr>
      <w:spacing w:beforeAutospacing="1" w:afterAutospacing="1"/>
    </w:pPr>
    <w:rPr>
      <w:i/>
      <w:iCs/>
    </w:rPr>
  </w:style>
  <w:style w:type="paragraph" w:styleId="Style15" w:customStyle="1">
    <w:name w:val="Знак"/>
    <w:basedOn w:val="Normal"/>
    <w:qFormat/>
    <w:rsid w:val="00a625c4"/>
    <w:pPr>
      <w:widowControl w:val="false"/>
      <w:spacing w:lineRule="exact" w:line="240" w:before="0" w:after="160"/>
      <w:jc w:val="right"/>
    </w:pPr>
    <w:rPr>
      <w:sz w:val="20"/>
      <w:szCs w:val="20"/>
      <w:lang w:val="en-GB" w:eastAsia="en-US"/>
    </w:rPr>
  </w:style>
  <w:style w:type="paragraph" w:styleId="ConsPlusNormal" w:customStyle="1">
    <w:name w:val="ConsPlusNormal"/>
    <w:qFormat/>
    <w:rsid w:val="008d5ac8"/>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Date">
    <w:name w:val="Date"/>
    <w:basedOn w:val="Normal"/>
    <w:next w:val="Normal"/>
    <w:qFormat/>
    <w:rsid w:val="008d5ac8"/>
    <w:pPr>
      <w:spacing w:before="0" w:after="60"/>
      <w:jc w:val="both"/>
    </w:pPr>
    <w:rPr/>
  </w:style>
  <w:style w:type="paragraph" w:styleId="ConsPlusNonformat" w:customStyle="1">
    <w:name w:val="ConsPlusNonformat"/>
    <w:qFormat/>
    <w:rsid w:val="008d5ac8"/>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21" w:customStyle="1">
    <w:name w:val="Основной текст 21"/>
    <w:basedOn w:val="Normal"/>
    <w:qFormat/>
    <w:rsid w:val="008d5ac8"/>
    <w:pPr>
      <w:ind w:firstLine="851"/>
      <w:jc w:val="both"/>
    </w:pPr>
    <w:rPr>
      <w:rFonts w:cs="Arial"/>
      <w:b/>
      <w:szCs w:val="20"/>
    </w:rPr>
  </w:style>
  <w:style w:type="paragraph" w:styleId="ConsNormal" w:customStyle="1">
    <w:name w:val="ConsNormal"/>
    <w:qFormat/>
    <w:rsid w:val="008d5ac8"/>
    <w:pPr>
      <w:widowControl w:val="false"/>
      <w:suppressAutoHyphens w:val="true"/>
      <w:bidi w:val="0"/>
      <w:spacing w:before="0" w:after="0"/>
      <w:ind w:firstLine="720" w:right="19772"/>
      <w:jc w:val="left"/>
    </w:pPr>
    <w:rPr>
      <w:rFonts w:ascii="Arial" w:hAnsi="Arial" w:eastAsia="Times New Roman" w:cs="Arial"/>
      <w:b/>
      <w:color w:val="auto"/>
      <w:kern w:val="0"/>
      <w:sz w:val="22"/>
      <w:szCs w:val="22"/>
      <w:lang w:val="ru-RU" w:eastAsia="ru-RU" w:bidi="ar-SA"/>
    </w:rPr>
  </w:style>
  <w:style w:type="paragraph" w:styleId="BodyTextIndent">
    <w:name w:val="Body Text Indent"/>
    <w:basedOn w:val="Normal"/>
    <w:link w:val="Style8"/>
    <w:rsid w:val="008d5ac8"/>
    <w:pPr>
      <w:spacing w:before="0" w:after="120"/>
      <w:ind w:left="283"/>
    </w:pPr>
    <w:rPr>
      <w:sz w:val="28"/>
      <w:szCs w:val="28"/>
    </w:rPr>
  </w:style>
  <w:style w:type="paragraph" w:styleId="12" w:customStyle="1">
    <w:name w:val="Обычный1"/>
    <w:qFormat/>
    <w:rsid w:val="008d5ac8"/>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Subtitle">
    <w:name w:val="Subtitle"/>
    <w:basedOn w:val="Normal"/>
    <w:link w:val="Style10"/>
    <w:qFormat/>
    <w:rsid w:val="008d5ac8"/>
    <w:pPr>
      <w:jc w:val="center"/>
    </w:pPr>
    <w:rPr>
      <w:rFonts w:cs="Arial"/>
      <w:b/>
      <w:sz w:val="28"/>
      <w:szCs w:val="20"/>
    </w:rPr>
  </w:style>
  <w:style w:type="paragraph" w:styleId="NormalWeb">
    <w:name w:val="Normal (Web)"/>
    <w:basedOn w:val="Normal"/>
    <w:uiPriority w:val="99"/>
    <w:unhideWhenUsed/>
    <w:qFormat/>
    <w:rsid w:val="009b347f"/>
    <w:pPr>
      <w:spacing w:before="75" w:after="75"/>
    </w:pPr>
    <w:rPr>
      <w:rFonts w:ascii="Arial" w:hAnsi="Arial" w:cs="Arial"/>
      <w:sz w:val="18"/>
      <w:szCs w:val="18"/>
    </w:rPr>
  </w:style>
  <w:style w:type="paragraph" w:styleId="PlainText">
    <w:name w:val="Plain Text"/>
    <w:basedOn w:val="Normal"/>
    <w:link w:val="Style11"/>
    <w:qFormat/>
    <w:rsid w:val="009b347f"/>
    <w:pPr/>
    <w:rPr>
      <w:rFonts w:ascii="Courier New" w:hAnsi="Courier New"/>
      <w:sz w:val="20"/>
      <w:szCs w:val="20"/>
    </w:rPr>
  </w:style>
  <w:style w:type="paragraph" w:styleId="ConsNonformat" w:customStyle="1">
    <w:name w:val="ConsNonformat"/>
    <w:qFormat/>
    <w:rsid w:val="009b347f"/>
    <w:pPr>
      <w:widowControl w:val="false"/>
      <w:suppressAutoHyphens w:val="true"/>
      <w:bidi w:val="0"/>
      <w:spacing w:before="0" w:after="0"/>
      <w:jc w:val="left"/>
    </w:pPr>
    <w:rPr>
      <w:rFonts w:ascii="Courier New" w:hAnsi="Courier New" w:eastAsia="Times New Roman" w:cs="Times New Roman"/>
      <w:color w:val="auto"/>
      <w:kern w:val="0"/>
      <w:sz w:val="20"/>
      <w:szCs w:val="20"/>
      <w:lang w:val="ru-RU" w:eastAsia="ru-RU" w:bidi="ar-SA"/>
    </w:rPr>
  </w:style>
  <w:style w:type="paragraph" w:styleId="5" w:customStyle="1">
    <w:name w:val="Знак5 Знак Знак Знак"/>
    <w:basedOn w:val="Normal"/>
    <w:qFormat/>
    <w:rsid w:val="00c11d06"/>
    <w:pPr>
      <w:spacing w:lineRule="exact" w:line="240" w:before="0" w:after="160"/>
    </w:pPr>
    <w:rPr>
      <w:rFonts w:ascii="Verdana" w:hAnsi="Verdana"/>
      <w:sz w:val="20"/>
      <w:szCs w:val="20"/>
      <w:lang w:val="en-US" w:eastAsia="en-US"/>
    </w:rPr>
  </w:style>
  <w:style w:type="paragraph" w:styleId="3" w:customStyle="1">
    <w:name w:val="Стиль3 Знак Знак"/>
    <w:basedOn w:val="BodyTextIndent2"/>
    <w:qFormat/>
    <w:rsid w:val="00127302"/>
    <w:pPr>
      <w:widowControl w:val="false"/>
      <w:tabs>
        <w:tab w:val="clear" w:pos="709"/>
        <w:tab w:val="left" w:pos="227" w:leader="none"/>
      </w:tabs>
      <w:spacing w:lineRule="auto" w:line="240" w:before="0" w:after="0"/>
      <w:ind w:left="0"/>
      <w:jc w:val="both"/>
    </w:pPr>
    <w:rPr>
      <w:szCs w:val="20"/>
    </w:rPr>
  </w:style>
  <w:style w:type="paragraph" w:styleId="BodyTextIndent2">
    <w:name w:val="Body Text Indent 2"/>
    <w:basedOn w:val="Normal"/>
    <w:qFormat/>
    <w:rsid w:val="00127302"/>
    <w:pPr>
      <w:spacing w:lineRule="auto" w:line="480" w:before="0" w:after="120"/>
      <w:ind w:left="283"/>
    </w:pPr>
    <w:rPr/>
  </w:style>
  <w:style w:type="paragraph" w:styleId="BodyTextIndent3">
    <w:name w:val="Body Text Indent 3"/>
    <w:basedOn w:val="Normal"/>
    <w:semiHidden/>
    <w:unhideWhenUsed/>
    <w:qFormat/>
    <w:rsid w:val="00cd7373"/>
    <w:pPr>
      <w:spacing w:before="0" w:after="120"/>
      <w:ind w:left="283"/>
    </w:pPr>
    <w:rPr>
      <w:sz w:val="16"/>
      <w:szCs w:val="16"/>
    </w:rPr>
  </w:style>
  <w:style w:type="paragraph" w:styleId="Style16" w:customStyle="1">
    <w:name w:val="Îáû÷íûé"/>
    <w:qFormat/>
    <w:rsid w:val="00922e34"/>
    <w:pPr>
      <w:widowControl/>
      <w:suppressAutoHyphens w:val="true"/>
      <w:bidi w:val="0"/>
      <w:spacing w:before="0" w:after="0"/>
      <w:jc w:val="left"/>
      <w:textAlignment w:val="baseline"/>
    </w:pPr>
    <w:rPr>
      <w:rFonts w:ascii="Times New Roman" w:hAnsi="Times New Roman" w:eastAsia="Times New Roman" w:cs="Times New Roman"/>
      <w:color w:val="auto"/>
      <w:kern w:val="0"/>
      <w:sz w:val="20"/>
      <w:szCs w:val="20"/>
      <w:lang w:val="ru-RU" w:eastAsia="ru-RU" w:bidi="ar-SA"/>
    </w:rPr>
  </w:style>
  <w:style w:type="paragraph" w:styleId="13" w:customStyle="1">
    <w:name w:val="çàãîëîâîê 1"/>
    <w:basedOn w:val="Style16"/>
    <w:next w:val="Style16"/>
    <w:qFormat/>
    <w:rsid w:val="00922e34"/>
    <w:pPr>
      <w:keepNext w:val="true"/>
      <w:ind w:right="-567"/>
      <w:jc w:val="right"/>
    </w:pPr>
    <w:rPr>
      <w:b/>
      <w:sz w:val="24"/>
    </w:rPr>
  </w:style>
  <w:style w:type="paragraph" w:styleId="BalloonText">
    <w:name w:val="Balloon Text"/>
    <w:basedOn w:val="Normal"/>
    <w:semiHidden/>
    <w:qFormat/>
    <w:rsid w:val="00a90b9d"/>
    <w:pPr/>
    <w:rPr>
      <w:rFonts w:ascii="Tahoma" w:hAnsi="Tahoma" w:cs="Tahoma"/>
      <w:sz w:val="16"/>
      <w:szCs w:val="16"/>
    </w:rPr>
  </w:style>
  <w:style w:type="paragraph" w:styleId="ListParagraph">
    <w:name w:val="List Paragraph"/>
    <w:basedOn w:val="Normal"/>
    <w:uiPriority w:val="34"/>
    <w:qFormat/>
    <w:rsid w:val="00227665"/>
    <w:pPr>
      <w:spacing w:lineRule="auto" w:line="276" w:before="0" w:after="200"/>
      <w:ind w:left="720"/>
      <w:contextualSpacing/>
    </w:pPr>
    <w:rPr>
      <w:rFonts w:ascii="Calibri" w:hAnsi="Calibri"/>
      <w:sz w:val="22"/>
      <w:szCs w:val="22"/>
    </w:rPr>
  </w:style>
  <w:style w:type="paragraph" w:styleId="14" w:customStyle="1">
    <w:name w:val="Текст сноски1"/>
    <w:basedOn w:val="Normal"/>
    <w:link w:val="Style12"/>
    <w:qFormat/>
    <w:rsid w:val="0095282c"/>
    <w:pPr/>
    <w:rPr/>
  </w:style>
  <w:style w:type="paragraph" w:styleId="125" w:customStyle="1">
    <w:name w:val="Стиль Первая строка:  125 см"/>
    <w:basedOn w:val="Normal"/>
    <w:qFormat/>
    <w:rsid w:val="002f4eaa"/>
    <w:pPr>
      <w:ind w:firstLine="708"/>
      <w:jc w:val="both"/>
    </w:pPr>
    <w:rPr>
      <w:sz w:val="28"/>
      <w:szCs w:val="28"/>
    </w:rPr>
  </w:style>
  <w:style w:type="paragraph" w:styleId="TableParagraph" w:customStyle="1">
    <w:name w:val="Table Paragraph"/>
    <w:basedOn w:val="Normal"/>
    <w:uiPriority w:val="1"/>
    <w:qFormat/>
    <w:rsid w:val="003937e8"/>
    <w:pPr>
      <w:widowControl w:val="false"/>
      <w:ind w:left="107"/>
    </w:pPr>
    <w:rPr>
      <w:sz w:val="22"/>
      <w:szCs w:val="22"/>
      <w:lang w:eastAsia="en-US"/>
    </w:rPr>
  </w:style>
  <w:style w:type="paragraph" w:styleId="user2" w:customStyle="1">
    <w:name w:val="Содержимое врезки (user)"/>
    <w:basedOn w:val="Normal"/>
    <w:qFormat/>
    <w:pPr/>
    <w:rPr/>
  </w:style>
  <w:style w:type="paragraph" w:styleId="Style17" w:customStyle="1">
    <w:name w:val="Содержимое врезки"/>
    <w:basedOn w:val="Normal"/>
    <w:qFormat/>
    <w:pPr/>
    <w:rPr/>
  </w:style>
  <w:style w:type="numbering" w:styleId="user3" w:customStyle="1">
    <w:name w:val="Без списка (user)"/>
    <w:uiPriority w:val="99"/>
    <w:semiHidden/>
    <w:unhideWhenUsed/>
    <w:qFormat/>
  </w:style>
  <w:style w:type="numbering" w:styleId="Style18" w:customStyle="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a">
    <w:name w:val="Table Grid"/>
    <w:basedOn w:val="a1"/>
    <w:rsid w:val="00922e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lomakindya@cityadm.tula.ru" TargetMode="External"/><Relationship Id="rId3" Type="http://schemas.openxmlformats.org/officeDocument/2006/relationships/hyperlink" Target="http://utp.sberbank-ast.ru/" TargetMode="External"/><Relationship Id="rId4" Type="http://schemas.openxmlformats.org/officeDocument/2006/relationships/hyperlink" Target="http://utp.sberbank-ast.ru/" TargetMode="External"/><Relationship Id="rId5" Type="http://schemas.openxmlformats.org/officeDocument/2006/relationships/hyperlink" Target="https://utp.sberbank-ast.ru/AP/Notice/653/Requisites" TargetMode="External"/><Relationship Id="rId6" Type="http://schemas.openxmlformats.org/officeDocument/2006/relationships/hyperlink" Target="consultantplus://offline/ref=BBD2128E5139F6CDA0483C2238A93E02752503FFB755B41420CB5CBC4831C2901DC89E3C4BE1E3BD25FAAB197171z5N" TargetMode="External"/><Relationship Id="rId7" Type="http://schemas.openxmlformats.org/officeDocument/2006/relationships/hyperlink" Target="http://www.torgi.gov.ru/" TargetMode="External"/><Relationship Id="rId8" Type="http://schemas.openxmlformats.org/officeDocument/2006/relationships/hyperlink" Target="consultantplus://offline/ref=135F3B423ABB29C327A50F09E00CE3512787B8E958EA7979AF9BECB66A3727905BCEE3BA78B9C4D153D98DA889AD7DC1D190F9FF275F700DeAeCG" TargetMode="External"/><Relationship Id="rId9" Type="http://schemas.openxmlformats.org/officeDocument/2006/relationships/hyperlink" Target="http://www.torgi.gov.ru/" TargetMode="Externa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F2364-505A-4C7A-BAB6-E13EA753D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Application>LibreOffice/25.8.3.2$Linux_X86_64 LibreOffice_project/580$Build-2</Application>
  <AppVersion>15.0000</AppVersion>
  <Pages>14</Pages>
  <Words>4185</Words>
  <Characters>28370</Characters>
  <CharactersWithSpaces>32832</CharactersWithSpaces>
  <Paragraphs>219</Paragraphs>
  <Company>Администрация г.Тулы</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2025-07-22T07:35:00Z</dcterms:created>
  <dc:creator>Садыков М.А.</dc:creator>
  <dc:description/>
  <dc:language>ru-RU</dc:language>
  <cp:lastModifiedBy/>
  <cp:lastPrinted>2026-02-05T15:20:00Z</cp:lastPrinted>
  <dcterms:modified xsi:type="dcterms:W3CDTF">2026-07-09T16:43:51Z</dcterms:modified>
  <cp:revision>97</cp:revision>
  <dc:subject/>
  <dc:title>Извещение</dc:title>
</cp:coreProperties>
</file>

<file path=docProps/custom.xml><?xml version="1.0" encoding="utf-8"?>
<Properties xmlns="http://schemas.openxmlformats.org/officeDocument/2006/custom-properties" xmlns:vt="http://schemas.openxmlformats.org/officeDocument/2006/docPropsVTypes"/>
</file>